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EN25CS3010138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Electric Vehicle Market Performance &amp; Insights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.5078232226188"/>
        <w:gridCol w:w="2015.5503705737033"/>
        <w:gridCol w:w="3357.970903101839"/>
        <w:gridCol w:w="3357.970903101839"/>
        <w:tblGridChange w:id="0">
          <w:tblGrid>
            <w:gridCol w:w="592.5078232226188"/>
            <w:gridCol w:w="2015.5503705737033"/>
            <w:gridCol w:w="3357.970903101839"/>
            <w:gridCol w:w="3357.970903101839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(High/Medium/Low)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Data Access &amp; Integration 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[Specify what business data the solution should access or integrate to address the use case.] 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 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[Specify what data preparation, transformation, or processing is required for the use case.] 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.664062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Analysis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[What business calculations, KPIs, metrics, aggregations, or analysis are required to answer the use-case questions. .] 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Business Insights &amp; Analytical Outputs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[What insights, analytical outputs, dashboards, visualizations, reports, or result sets the solution should provide. .] 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User Interaction &amp; Analysis 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[Specify how users should filter, compare, drill down, or explore information relevant to the use case.] 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Data Update &amp; Reporting 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[Specify how the solution should provide updated information and generate the required business outputs for the use case.]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6534150</wp:posOffset>
          </wp:positionH>
          <wp:positionV relativeFrom="page">
            <wp:posOffset>173355</wp:posOffset>
          </wp:positionV>
          <wp:extent cx="864691" cy="395288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VrwOS1kqorcgNtSGileymGTshA==">CgMxLjA4AHIhMUthWDlrSlVNYUVOaUczUFdLM2Rac093S3RYdlJXc2Nj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