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EN25CS3010138</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color w:val="0a0a0a"/>
                <w:rtl w:val="0"/>
              </w:rPr>
              <w:t xml:space="preserve">Electric Vehicle Market Performance &amp; Insights</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headerReference r:id="rId8"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kmEw1XtRbRUM3fBRYbHKpOKexA==">CgMxLjA4AHIhMUs0LXJuTkJYaVE3ajJuUDZQdjBJSVJKczhfQ0Y0cTZH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