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190500</wp:posOffset>
            </wp:positionH>
            <wp:positionV relativeFrom="page">
              <wp:posOffset>152400</wp:posOffset>
            </wp:positionV>
            <wp:extent cx="1376363" cy="589870"/>
            <wp:effectExtent b="0" l="0" r="0" t="0"/>
            <wp:wrapNone/>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rsidR="00000000" w:rsidDel="00000000" w:rsidP="00000000" w:rsidRDefault="00000000" w:rsidRPr="00000000" w14:paraId="00000004">
            <w:pPr>
              <w:widowControl w:val="0"/>
              <w:spacing w:after="0" w:line="240" w:lineRule="auto"/>
              <w:ind w:left="131" w:firstLine="0"/>
              <w:rPr/>
            </w:pPr>
            <w:r w:rsidDel="00000000" w:rsidR="00000000" w:rsidRPr="00000000">
              <w:rPr>
                <w:rtl w:val="0"/>
              </w:rPr>
              <w:t xml:space="preserve">24 October2026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rsidR="00000000" w:rsidDel="00000000" w:rsidP="00000000" w:rsidRDefault="00000000" w:rsidRPr="00000000" w14:paraId="00000006">
            <w:pPr>
              <w:widowControl w:val="0"/>
              <w:spacing w:after="0" w:line="240" w:lineRule="auto"/>
              <w:ind w:left="131" w:firstLine="0"/>
              <w:rPr/>
            </w:pPr>
            <w:r w:rsidDel="00000000" w:rsidR="00000000" w:rsidRPr="00000000">
              <w:rPr>
                <w:rtl w:val="0"/>
              </w:rPr>
              <w:t xml:space="preserve">EN25CS3010138</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p w:rsidR="00000000" w:rsidDel="00000000" w:rsidP="00000000" w:rsidRDefault="00000000" w:rsidRPr="00000000" w14:paraId="00000008">
            <w:pPr>
              <w:spacing w:after="0" w:line="240" w:lineRule="auto"/>
              <w:rPr>
                <w:rFonts w:ascii="Arial" w:cs="Arial" w:eastAsia="Arial" w:hAnsi="Arial"/>
              </w:rPr>
            </w:pPr>
            <w:r w:rsidDel="00000000" w:rsidR="00000000" w:rsidRPr="00000000">
              <w:rPr>
                <w:color w:val="0a0a0a"/>
                <w:rtl w:val="0"/>
              </w:rPr>
              <w:t xml:space="preserve">Electric Vehicle Market Performance &amp; Insights</w:t>
            </w:r>
            <w:r w:rsidDel="00000000" w:rsidR="00000000" w:rsidRPr="00000000">
              <w:rPr>
                <w:rtl w:val="0"/>
              </w:rPr>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D">
      <w:pPr>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Creating an effective Streamlit dashboard involves presenting business data stored in Snowflake through clear, interactive, and easy-to-understand visualizations. Students should design the dashboard so that users can quickly understand important KPIs, trends, comparisons, and business insights. </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Clear and Intuitive Layout</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Appropriate Visualizations</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Colour and Theming</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Interactive Filters and Slicers</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Drill-Down Capabilities</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Responsive Design</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Custom Visuals and Icons</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of Infographics</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7">
      <w:pPr>
        <w:spacing w:after="240" w:before="240" w:line="276" w:lineRule="auto"/>
        <w:rPr>
          <w:sz w:val="24"/>
          <w:szCs w:val="24"/>
        </w:rPr>
      </w:pPr>
      <w:r w:rsidDel="00000000" w:rsidR="00000000" w:rsidRPr="00000000">
        <w:rPr>
          <w:sz w:val="24"/>
          <w:szCs w:val="24"/>
        </w:rPr>
        <w:drawing>
          <wp:inline distB="114300" distT="114300" distL="114300" distR="114300">
            <wp:extent cx="5167313" cy="2371725"/>
            <wp:effectExtent b="0" l="0" r="0" t="0"/>
            <wp:docPr id="14" name="image4.png"/>
            <a:graphic>
              <a:graphicData uri="http://schemas.openxmlformats.org/drawingml/2006/picture">
                <pic:pic>
                  <pic:nvPicPr>
                    <pic:cNvPr id="0" name="image4.png"/>
                    <pic:cNvPicPr preferRelativeResize="0"/>
                  </pic:nvPicPr>
                  <pic:blipFill>
                    <a:blip r:embed="rId8"/>
                    <a:srcRect b="4843" l="0" r="0" t="9402"/>
                    <a:stretch>
                      <a:fillRect/>
                    </a:stretch>
                  </pic:blipFill>
                  <pic:spPr>
                    <a:xfrm>
                      <a:off x="0" y="0"/>
                      <a:ext cx="5167313"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276" w:lineRule="auto"/>
        <w:rPr>
          <w:sz w:val="24"/>
          <w:szCs w:val="24"/>
        </w:rPr>
      </w:pPr>
      <w:r w:rsidDel="00000000" w:rsidR="00000000" w:rsidRPr="00000000">
        <w:rPr>
          <w:sz w:val="24"/>
          <w:szCs w:val="24"/>
        </w:rPr>
        <w:drawing>
          <wp:inline distB="114300" distT="114300" distL="114300" distR="114300">
            <wp:extent cx="5200650" cy="2443832"/>
            <wp:effectExtent b="0" l="0" r="0" t="0"/>
            <wp:docPr id="13" name="image3.png"/>
            <a:graphic>
              <a:graphicData uri="http://schemas.openxmlformats.org/drawingml/2006/picture">
                <pic:pic>
                  <pic:nvPicPr>
                    <pic:cNvPr id="0" name="image3.png"/>
                    <pic:cNvPicPr preferRelativeResize="0"/>
                  </pic:nvPicPr>
                  <pic:blipFill>
                    <a:blip r:embed="rId9"/>
                    <a:srcRect b="5392" l="0" r="0" t="8852"/>
                    <a:stretch>
                      <a:fillRect/>
                    </a:stretch>
                  </pic:blipFill>
                  <pic:spPr>
                    <a:xfrm>
                      <a:off x="0" y="0"/>
                      <a:ext cx="5200650" cy="244383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rsidDel="00000000" w:rsidR="00000000" w:rsidRPr="00000000">
        <w:rPr>
          <w:rtl w:val="0"/>
        </w:rPr>
        <w:t xml:space="preserve">Sample:</w:t>
      </w:r>
    </w:p>
    <w:p w:rsidR="00000000" w:rsidDel="00000000" w:rsidP="00000000" w:rsidRDefault="00000000" w:rsidRPr="00000000" w14:paraId="0000001B">
      <w:pPr>
        <w:spacing w:after="200" w:line="240" w:lineRule="auto"/>
        <w:rPr/>
      </w:pPr>
      <w:r w:rsidDel="00000000" w:rsidR="00000000" w:rsidRPr="00000000">
        <w:rPr>
          <w:rtl w:val="0"/>
        </w:rPr>
        <w:t xml:space="preserve">Here are five potential outcomes from the dashboard image provided:</w:t>
      </w:r>
    </w:p>
    <w:p w:rsidR="00000000" w:rsidDel="00000000" w:rsidP="00000000" w:rsidRDefault="00000000" w:rsidRPr="00000000" w14:paraId="0000001C">
      <w:pPr>
        <w:numPr>
          <w:ilvl w:val="0"/>
          <w:numId w:val="2"/>
        </w:numPr>
        <w:spacing w:after="0" w:before="240" w:line="240" w:lineRule="auto"/>
        <w:ind w:left="720" w:hanging="360"/>
        <w:rPr/>
      </w:pPr>
      <w:r w:rsidDel="00000000" w:rsidR="00000000" w:rsidRPr="00000000">
        <w:rPr>
          <w:rtl w:val="0"/>
        </w:rPr>
        <w:t xml:space="preserve">Mumbai Indians emerge as the strongest team by wins</w:t>
        <w:br w:type="textWrapping"/>
        <w:t xml:space="preserve"> Mumbai Indians are shown at the top of the Top Teams by Wins chart, indicating consistently strong performance across IPL seasons.</w:t>
      </w:r>
    </w:p>
    <w:p w:rsidR="00000000" w:rsidDel="00000000" w:rsidP="00000000" w:rsidRDefault="00000000" w:rsidRPr="00000000" w14:paraId="0000001D">
      <w:pPr>
        <w:numPr>
          <w:ilvl w:val="0"/>
          <w:numId w:val="2"/>
        </w:numPr>
        <w:spacing w:after="0" w:before="0" w:line="240" w:lineRule="auto"/>
        <w:ind w:left="720" w:hanging="360"/>
        <w:rPr/>
      </w:pPr>
      <w:r w:rsidDel="00000000" w:rsidR="00000000" w:rsidRPr="00000000">
        <w:rPr>
          <w:rtl w:val="0"/>
        </w:rPr>
        <w:t xml:space="preserve">Batting performance is dominated by a few key players</w:t>
        <w:br w:type="textWrapping"/>
        <w:t xml:space="preserve"> V. Kohli leads the Top Run Scorers chart, followed by players such as S. Dhawan, RG Sharma, and DA Warner. This highlights the importance of high-performing batsmen.</w:t>
      </w:r>
    </w:p>
    <w:p w:rsidR="00000000" w:rsidDel="00000000" w:rsidP="00000000" w:rsidRDefault="00000000" w:rsidRPr="00000000" w14:paraId="0000001E">
      <w:pPr>
        <w:numPr>
          <w:ilvl w:val="0"/>
          <w:numId w:val="2"/>
        </w:numPr>
        <w:spacing w:after="0" w:before="0" w:line="240" w:lineRule="auto"/>
        <w:ind w:left="720" w:hanging="360"/>
        <w:rPr/>
      </w:pPr>
      <w:r w:rsidDel="00000000" w:rsidR="00000000" w:rsidRPr="00000000">
        <w:rPr>
          <w:rtl w:val="0"/>
        </w:rPr>
        <w:t xml:space="preserve">Wicket-taking performance is concentrated among leading bowlers</w:t>
        <w:br w:type="textWrapping"/>
        <w:t xml:space="preserve"> YS Chahal ranks highest in the Top Wicket Takers chart, followed by PP Chawla and DJ Bravo, indicating that a relatively small group of bowlers has contributed significantly to wicket-taking.</w:t>
      </w:r>
    </w:p>
    <w:p w:rsidR="00000000" w:rsidDel="00000000" w:rsidP="00000000" w:rsidRDefault="00000000" w:rsidRPr="00000000" w14:paraId="0000001F">
      <w:pPr>
        <w:numPr>
          <w:ilvl w:val="0"/>
          <w:numId w:val="2"/>
        </w:numPr>
        <w:spacing w:after="0" w:before="0" w:line="240" w:lineRule="auto"/>
        <w:ind w:left="720" w:hanging="360"/>
        <w:rPr/>
      </w:pPr>
      <w:r w:rsidDel="00000000" w:rsidR="00000000" w:rsidRPr="00000000">
        <w:rPr>
          <w:rtl w:val="0"/>
        </w:rPr>
        <w:t xml:space="preserve">Fielding/toss decisions appear to have an impact on match outcomes</w:t>
        <w:br w:type="textWrapping"/>
        <w:t xml:space="preserve"> The Toss Impact and Toss Decision charts show differences between winning after winning the toss and choosing to bat vs. field. This can be used to investigate whether the toss provides a meaningful advantage.</w:t>
      </w:r>
    </w:p>
    <w:p w:rsidR="00000000" w:rsidDel="00000000" w:rsidP="00000000" w:rsidRDefault="00000000" w:rsidRPr="00000000" w14:paraId="00000020">
      <w:pPr>
        <w:numPr>
          <w:ilvl w:val="0"/>
          <w:numId w:val="2"/>
        </w:numPr>
        <w:spacing w:after="240" w:before="0" w:line="240" w:lineRule="auto"/>
        <w:ind w:left="720" w:hanging="360"/>
        <w:rPr/>
      </w:pPr>
      <w:r w:rsidDel="00000000" w:rsidR="00000000" w:rsidRPr="00000000">
        <w:rPr>
          <w:rtl w:val="0"/>
        </w:rPr>
        <w:t xml:space="preserve">IPL match activity and scoring have grown over the seasons</w:t>
        <w:br w:type="textWrapping"/>
        <w:t xml:space="preserve"> The Matches by Season and Runs by Season charts show variation and an overall increase in IPL activity and run production across seasons, with particularly high run totals in later seasons.</w:t>
      </w:r>
    </w:p>
    <w:p w:rsidR="00000000" w:rsidDel="00000000" w:rsidP="00000000" w:rsidRDefault="00000000" w:rsidRPr="00000000" w14:paraId="00000021">
      <w:pPr>
        <w:spacing w:after="240" w:before="240" w:line="240" w:lineRule="auto"/>
        <w:rPr/>
      </w:pPr>
      <w:r w:rsidDel="00000000" w:rsidR="00000000" w:rsidRPr="00000000">
        <w:rPr>
          <w:rtl w:val="0"/>
        </w:rPr>
        <w:t xml:space="preserve">Overall outcome: The dashboard suggests that IPL success is influenced by a combination of strong teams, elite batting and bowling performers, match/toss decisions, and changing scoring patterns across seasons.</w:t>
      </w:r>
    </w:p>
    <w:p w:rsidR="00000000" w:rsidDel="00000000" w:rsidP="00000000" w:rsidRDefault="00000000" w:rsidRPr="00000000" w14:paraId="00000022">
      <w:pPr>
        <w:spacing w:after="200" w:line="240" w:lineRule="auto"/>
        <w:rPr/>
      </w:pPr>
      <w:r w:rsidDel="00000000" w:rsidR="00000000" w:rsidRPr="00000000">
        <w:rPr>
          <w:rtl w:val="0"/>
        </w:rPr>
        <w:br w:type="textWrapping"/>
        <w:br w:type="textWrapping"/>
      </w:r>
    </w:p>
    <w:p w:rsidR="00000000" w:rsidDel="00000000" w:rsidP="00000000" w:rsidRDefault="00000000" w:rsidRPr="00000000" w14:paraId="00000023">
      <w:pPr>
        <w:spacing w:after="240" w:before="0" w:line="240" w:lineRule="auto"/>
        <w:ind w:left="720" w:firstLine="0"/>
        <w:rPr>
          <w:u w:val="none"/>
        </w:rPr>
      </w:pPr>
      <w:r w:rsidDel="00000000" w:rsidR="00000000" w:rsidRPr="00000000">
        <w:rPr>
          <w:rtl w:val="0"/>
        </w:rPr>
      </w:r>
    </w:p>
    <w:p w:rsidR="00000000" w:rsidDel="00000000" w:rsidP="00000000" w:rsidRDefault="00000000" w:rsidRPr="00000000" w14:paraId="00000024">
      <w:pPr>
        <w:spacing w:after="240" w:before="240" w:line="240" w:lineRule="auto"/>
        <w:rPr/>
      </w:pPr>
      <w:r w:rsidDel="00000000" w:rsidR="00000000" w:rsidRPr="00000000">
        <w:rPr>
          <w:rtl w:val="0"/>
        </w:rPr>
      </w:r>
    </w:p>
    <w:p w:rsidR="00000000" w:rsidDel="00000000" w:rsidP="00000000" w:rsidRDefault="00000000" w:rsidRPr="00000000" w14:paraId="00000025">
      <w:pPr>
        <w:spacing w:after="200" w:line="240" w:lineRule="auto"/>
        <w:rPr>
          <w:sz w:val="28"/>
          <w:szCs w:val="28"/>
        </w:rPr>
      </w:pPr>
      <w:r w:rsidDel="00000000" w:rsidR="00000000" w:rsidRPr="00000000">
        <w:rPr>
          <w:rtl w:val="0"/>
        </w:rPr>
      </w:r>
    </w:p>
    <w:sectPr>
      <w:head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247650</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LD4T3dXlASlW9IAG5+m/y61zVQ==">CgMxLjA4AHIhMWgxOEd6MXFlZzUxNURJck1ROWsyV2FobjljMTJTdVdH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