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Category Leads in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Technology category is generating the highest profit among all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Seasonal Sales 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Sales peak in November, while February sees the lowest sales, indicating a possible seasonal trend.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Segment Dominates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Consumer segment contributes to the highest percentage of sales, accounting for 50.56%.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Revenue-Generating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Chairs from the Furniture category generate the highest revenue, totaling 1.66M.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xBUmzdfFrz5kFndqYA3PwaSFg==">CgMxLjA4AHIhMThCeUQtTC1xdUJCN1AxaXRhQ1ZBQk4yTVcyQUJUZkRi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