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This project simulates a real-world enterprise software development lifecycle without raw source code implementation, using Trello for visual Agile sprint coordination and GitHub for document version control and team collaboration. The project scope covers requirement elicitation, stakeholder analysis, domain modeling with Unified Modeling Language (UML) diagrams, test-driven validation using a master test matrix, and Agile sprint planning.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200" w:after="0" w:line="480" w:lineRule="auto"/>
        <w:ind w:firstLine="0"/>
        <w:jc w:val="left"/>
      </w:pPr>
      <w:r>
        <w:rPr>
          <w:rFonts w:ascii="Times New Roman" w:hAnsi="Times New Roman"/>
          <w:b/>
          <w:i w:val="0"/>
          <w:color w:val="000000"/>
          <w:sz w:val="24"/>
        </w:rPr>
        <w:t>Table 1</w:t>
      </w:r>
    </w:p>
    <w:p>
      <w:pPr>
        <w:spacing w:before="0" w:after="120" w:line="480" w:lineRule="auto"/>
        <w:ind w:firstLine="0"/>
        <w:jc w:val="left"/>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 Table 2 summarizes stakeholder engagement across the project lifecycle.</w:t>
      </w:r>
    </w:p>
    <w:p>
      <w:pPr>
        <w:spacing w:before="200" w:after="0" w:line="480" w:lineRule="auto"/>
        <w:ind w:firstLine="0"/>
        <w:jc w:val="left"/>
      </w:pPr>
      <w:r>
        <w:rPr>
          <w:rFonts w:ascii="Times New Roman" w:hAnsi="Times New Roman"/>
          <w:b/>
          <w:i w:val="0"/>
          <w:color w:val="000000"/>
          <w:sz w:val="24"/>
        </w:rPr>
        <w:t>Table 2</w:t>
      </w:r>
    </w:p>
    <w:p>
      <w:pPr>
        <w:spacing w:before="0" w:after="120" w:line="480" w:lineRule="auto"/>
        <w:ind w:firstLine="0"/>
        <w:jc w:val="left"/>
      </w:pPr>
      <w:r>
        <w:rPr>
          <w:rFonts w:ascii="Times New Roman" w:hAnsi="Times New Roman"/>
          <w:b w:val="0"/>
          <w:i/>
          <w:color w:val="000000"/>
          <w:sz w:val="24"/>
        </w:rPr>
        <w:t>Stakeholder Analysis and Organizational Engagement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Stakeholder Group</w:t>
            </w:r>
          </w:p>
        </w:tc>
        <w:tc>
          <w:tcPr>
            <w:tcW w:type="dxa" w:w="3168"/>
            <w:vAlign w:val="center"/>
          </w:tcPr>
          <w:p>
            <w:pPr>
              <w:spacing w:before="40" w:after="40" w:line="276" w:lineRule="auto"/>
              <w:ind w:firstLine="0"/>
            </w:pPr>
            <w:r>
              <w:rPr>
                <w:rFonts w:ascii="Times New Roman" w:hAnsi="Times New Roman"/>
                <w:b/>
                <w:i w:val="0"/>
                <w:color w:val="000000"/>
                <w:sz w:val="20"/>
              </w:rPr>
              <w:t>Primary Interest / Goals</w:t>
            </w:r>
          </w:p>
        </w:tc>
        <w:tc>
          <w:tcPr>
            <w:tcW w:type="dxa" w:w="2592"/>
            <w:vAlign w:val="center"/>
          </w:tcPr>
          <w:p>
            <w:pPr>
              <w:spacing w:before="40" w:after="40" w:line="276" w:lineRule="auto"/>
              <w:ind w:firstLine="0"/>
            </w:pPr>
            <w:r>
              <w:rPr>
                <w:rFonts w:ascii="Times New Roman" w:hAnsi="Times New Roman"/>
                <w:b/>
                <w:i w:val="0"/>
                <w:color w:val="000000"/>
                <w:sz w:val="20"/>
              </w:rPr>
              <w:t>Influence on Project</w:t>
            </w:r>
          </w:p>
        </w:tc>
        <w:tc>
          <w:tcPr>
            <w:tcW w:type="dxa" w:w="2160"/>
            <w:vAlign w:val="center"/>
          </w:tcPr>
          <w:p>
            <w:pPr>
              <w:spacing w:before="40" w:after="40" w:line="276" w:lineRule="auto"/>
              <w:ind w:firstLine="0"/>
            </w:pPr>
            <w:r>
              <w:rPr>
                <w:rFonts w:ascii="Times New Roman" w:hAnsi="Times New Roman"/>
                <w:b/>
                <w:i w:val="0"/>
                <w:color w:val="000000"/>
                <w:sz w:val="20"/>
              </w:rPr>
              <w:t>Involvement Level</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Clerks</w:t>
            </w:r>
          </w:p>
        </w:tc>
        <w:tc>
          <w:tcPr>
            <w:tcW w:type="dxa" w:w="3168"/>
            <w:vAlign w:val="center"/>
          </w:tcPr>
          <w:p>
            <w:pPr>
              <w:spacing w:before="40" w:after="40" w:line="276" w:lineRule="auto"/>
              <w:ind w:firstLine="0"/>
            </w:pPr>
            <w:r>
              <w:rPr>
                <w:rFonts w:ascii="Times New Roman" w:hAnsi="Times New Roman"/>
                <w:b w:val="0"/>
                <w:i w:val="0"/>
                <w:color w:val="000000"/>
                <w:sz w:val="20"/>
              </w:rPr>
              <w:t>Fast, accurate scanning and dispatch tools suited for active warehouse floor operations.</w:t>
            </w:r>
          </w:p>
        </w:tc>
        <w:tc>
          <w:tcPr>
            <w:tcW w:type="dxa" w:w="2592"/>
            <w:vAlign w:val="center"/>
          </w:tcPr>
          <w:p>
            <w:pPr>
              <w:spacing w:before="40" w:after="40" w:line="276" w:lineRule="auto"/>
              <w:ind w:firstLine="0"/>
            </w:pPr>
            <w:r>
              <w:rPr>
                <w:rFonts w:ascii="Times New Roman" w:hAnsi="Times New Roman"/>
                <w:b w:val="0"/>
                <w:i w:val="0"/>
                <w:color w:val="000000"/>
                <w:sz w:val="20"/>
              </w:rPr>
              <w:t>High: daily end users of core operational workflows.</w:t>
            </w:r>
          </w:p>
        </w:tc>
        <w:tc>
          <w:tcPr>
            <w:tcW w:type="dxa" w:w="2160"/>
            <w:vAlign w:val="center"/>
          </w:tcPr>
          <w:p>
            <w:pPr>
              <w:spacing w:before="40" w:after="40" w:line="276" w:lineRule="auto"/>
              <w:ind w:firstLine="0"/>
            </w:pPr>
            <w:r>
              <w:rPr>
                <w:rFonts w:ascii="Times New Roman" w:hAnsi="Times New Roman"/>
                <w:b w:val="0"/>
                <w:i w:val="0"/>
                <w:color w:val="000000"/>
                <w:sz w:val="20"/>
              </w:rPr>
              <w:t>Direct: primary UI and usability feedback consumers.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Inventory Managers</w:t>
            </w:r>
          </w:p>
        </w:tc>
        <w:tc>
          <w:tcPr>
            <w:tcW w:type="dxa" w:w="3168"/>
            <w:vAlign w:val="center"/>
          </w:tcPr>
          <w:p>
            <w:pPr>
              <w:spacing w:before="40" w:after="40" w:line="276" w:lineRule="auto"/>
              <w:ind w:firstLine="0"/>
            </w:pPr>
            <w:r>
              <w:rPr>
                <w:rFonts w:ascii="Times New Roman" w:hAnsi="Times New Roman"/>
                <w:b w:val="0"/>
                <w:i w:val="0"/>
                <w:color w:val="000000"/>
                <w:sz w:val="20"/>
              </w:rPr>
              <w:t>Real-time stock visibility and reliable automated threshold alerts for inventory control.</w:t>
            </w:r>
          </w:p>
        </w:tc>
        <w:tc>
          <w:tcPr>
            <w:tcW w:type="dxa" w:w="2592"/>
            <w:vAlign w:val="center"/>
          </w:tcPr>
          <w:p>
            <w:pPr>
              <w:spacing w:before="40" w:after="40" w:line="276" w:lineRule="auto"/>
              <w:ind w:firstLine="0"/>
            </w:pPr>
            <w:r>
              <w:rPr>
                <w:rFonts w:ascii="Times New Roman" w:hAnsi="Times New Roman"/>
                <w:b w:val="0"/>
                <w:i w:val="0"/>
                <w:color w:val="000000"/>
                <w:sz w:val="20"/>
              </w:rPr>
              <w:t>High: set safety thresholds and approve replenishment purchase orders.</w:t>
            </w:r>
          </w:p>
        </w:tc>
        <w:tc>
          <w:tcPr>
            <w:tcW w:type="dxa" w:w="2160"/>
            <w:vAlign w:val="center"/>
          </w:tcPr>
          <w:p>
            <w:pPr>
              <w:spacing w:before="40" w:after="40" w:line="276" w:lineRule="auto"/>
              <w:ind w:firstLine="0"/>
            </w:pPr>
            <w:r>
              <w:rPr>
                <w:rFonts w:ascii="Times New Roman" w:hAnsi="Times New Roman"/>
                <w:b w:val="0"/>
                <w:i w:val="0"/>
                <w:color w:val="000000"/>
                <w:sz w:val="20"/>
              </w:rPr>
              <w:t>Direct: define core business rules and approval logic.</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Auditors</w:t>
            </w:r>
          </w:p>
        </w:tc>
        <w:tc>
          <w:tcPr>
            <w:tcW w:type="dxa" w:w="3168"/>
            <w:vAlign w:val="center"/>
          </w:tcPr>
          <w:p>
            <w:pPr>
              <w:spacing w:before="40" w:after="40" w:line="276" w:lineRule="auto"/>
              <w:ind w:firstLine="0"/>
            </w:pPr>
            <w:r>
              <w:rPr>
                <w:rFonts w:ascii="Times New Roman" w:hAnsi="Times New Roman"/>
                <w:b w:val="0"/>
                <w:i w:val="0"/>
                <w:color w:val="000000"/>
                <w:sz w:val="20"/>
              </w:rPr>
              <w:t>Tamper-proof, immutable transaction logs for audit compliance and inventory governance.</w:t>
            </w:r>
          </w:p>
        </w:tc>
        <w:tc>
          <w:tcPr>
            <w:tcW w:type="dxa" w:w="2592"/>
            <w:vAlign w:val="center"/>
          </w:tcPr>
          <w:p>
            <w:pPr>
              <w:spacing w:before="40" w:after="40" w:line="276" w:lineRule="auto"/>
              <w:ind w:firstLine="0"/>
            </w:pPr>
            <w:r>
              <w:rPr>
                <w:rFonts w:ascii="Times New Roman" w:hAnsi="Times New Roman"/>
                <w:b w:val="0"/>
                <w:i w:val="0"/>
                <w:color w:val="000000"/>
                <w:sz w:val="20"/>
              </w:rPr>
              <w:t>Medium: define compliance and data retention guidelines.</w:t>
            </w:r>
          </w:p>
        </w:tc>
        <w:tc>
          <w:tcPr>
            <w:tcW w:type="dxa" w:w="2160"/>
            <w:vAlign w:val="center"/>
          </w:tcPr>
          <w:p>
            <w:pPr>
              <w:spacing w:before="40" w:after="40" w:line="276" w:lineRule="auto"/>
              <w:ind w:firstLine="0"/>
            </w:pPr>
            <w:r>
              <w:rPr>
                <w:rFonts w:ascii="Times New Roman" w:hAnsi="Times New Roman"/>
                <w:b w:val="0"/>
                <w:i w:val="0"/>
                <w:color w:val="000000"/>
                <w:sz w:val="20"/>
              </w:rPr>
              <w:t>Periodic: review audit logs and transaction traceability.</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External Suppliers</w:t>
            </w:r>
          </w:p>
        </w:tc>
        <w:tc>
          <w:tcPr>
            <w:tcW w:type="dxa" w:w="3168"/>
            <w:vAlign w:val="center"/>
          </w:tcPr>
          <w:p>
            <w:pPr>
              <w:spacing w:before="40" w:after="40" w:line="276" w:lineRule="auto"/>
              <w:ind w:firstLine="0"/>
            </w:pPr>
            <w:r>
              <w:rPr>
                <w:rFonts w:ascii="Times New Roman" w:hAnsi="Times New Roman"/>
                <w:b w:val="0"/>
                <w:i w:val="0"/>
                <w:color w:val="000000"/>
                <w:sz w:val="20"/>
              </w:rPr>
              <w:t>Standardized electronic purchase orders and timely shipment dispatch confirmations.</w:t>
            </w:r>
          </w:p>
        </w:tc>
        <w:tc>
          <w:tcPr>
            <w:tcW w:type="dxa" w:w="2592"/>
            <w:vAlign w:val="center"/>
          </w:tcPr>
          <w:p>
            <w:pPr>
              <w:spacing w:before="40" w:after="40" w:line="276" w:lineRule="auto"/>
              <w:ind w:firstLine="0"/>
            </w:pPr>
            <w:r>
              <w:rPr>
                <w:rFonts w:ascii="Times New Roman" w:hAnsi="Times New Roman"/>
                <w:b w:val="0"/>
                <w:i w:val="0"/>
                <w:color w:val="000000"/>
                <w:sz w:val="20"/>
              </w:rPr>
              <w:t>Medium: external API integration endpoints and delivery schedules.</w:t>
            </w:r>
          </w:p>
        </w:tc>
        <w:tc>
          <w:tcPr>
            <w:tcW w:type="dxa" w:w="2160"/>
            <w:vAlign w:val="center"/>
          </w:tcPr>
          <w:p>
            <w:pPr>
              <w:spacing w:before="40" w:after="40" w:line="276" w:lineRule="auto"/>
              <w:ind w:firstLine="0"/>
            </w:pPr>
            <w:r>
              <w:rPr>
                <w:rFonts w:ascii="Times New Roman" w:hAnsi="Times New Roman"/>
                <w:b w:val="0"/>
                <w:i w:val="0"/>
                <w:color w:val="000000"/>
                <w:sz w:val="20"/>
              </w:rPr>
              <w:t>Indirect: receive purchase orders via supplier gateway.</w:t>
            </w:r>
          </w:p>
        </w:tc>
      </w:tr>
    </w:tbl>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All user credentials shall be encrypted with Argon2/bcrypt,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200" w:after="0" w:line="480" w:lineRule="auto"/>
        <w:ind w:firstLine="0"/>
        <w:jc w:val="left"/>
      </w:pPr>
      <w:r>
        <w:rPr>
          <w:rFonts w:ascii="Times New Roman" w:hAnsi="Times New Roman"/>
          <w:b/>
          <w:i w:val="0"/>
          <w:color w:val="000000"/>
          <w:sz w:val="24"/>
        </w:rPr>
        <w:t>Table 3</w:t>
      </w:r>
    </w:p>
    <w:p>
      <w:pPr>
        <w:spacing w:before="0" w:after="120" w:line="480" w:lineRule="auto"/>
        <w:ind w:firstLine="0"/>
        <w:jc w:val="left"/>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3 reflects the sprint lifecycle status across our active backlog, matching the live Trello Kanban board snapshot shown in Figure 1.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200" w:after="0" w:line="480" w:lineRule="auto"/>
        <w:ind w:firstLine="0"/>
        <w:jc w:val="left"/>
      </w:pPr>
      <w:r>
        <w:rPr>
          <w:rFonts w:ascii="Times New Roman" w:hAnsi="Times New Roman"/>
          <w:b/>
          <w:i w:val="0"/>
          <w:color w:val="000000"/>
          <w:sz w:val="24"/>
        </w:rPr>
        <w:t>Figure 1</w:t>
      </w:r>
    </w:p>
    <w:p>
      <w:pPr>
        <w:spacing w:before="0" w:after="120" w:line="480" w:lineRule="auto"/>
        <w:ind w:firstLine="0"/>
        <w:jc w:val="left"/>
      </w:pPr>
      <w:r>
        <w:rPr>
          <w:rFonts w:ascii="Times New Roman" w:hAnsi="Times New Roman"/>
          <w:b w:val="0"/>
          <w:i/>
          <w:color w:val="000000"/>
          <w:sz w:val="24"/>
        </w:rPr>
        <w:t>Agile Trello Sprint Board with Story Point Estimates and Task Workflow</w:t>
      </w:r>
    </w:p>
    <w:p>
      <w:pPr>
        <w:spacing w:before="80" w:after="80" w:line="480" w:lineRule="auto"/>
        <w:jc w:val="center"/>
      </w:pPr>
      <w:r>
        <w:drawing>
          <wp:inline xmlns:a="http://schemas.openxmlformats.org/drawingml/2006/main" xmlns:pic="http://schemas.openxmlformats.org/drawingml/2006/picture">
            <wp:extent cx="5669280" cy="3173371"/>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10"/>
                    <a:stretch>
                      <a:fillRect/>
                    </a:stretch>
                  </pic:blipFill>
                  <pic:spPr>
                    <a:xfrm>
                      <a:off x="0" y="0"/>
                      <a:ext cx="5669280" cy="3173371"/>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1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Work Breakdown, and Gantt Chart</w:t>
      </w:r>
    </w:p>
    <w:p>
      <w:pPr>
        <w:spacing w:before="0" w:after="80" w:line="480" w:lineRule="auto"/>
        <w:ind w:firstLine="720"/>
      </w:pPr>
      <w:r>
        <w:rPr>
          <w:rFonts w:ascii="Times New Roman" w:hAnsi="Times New Roman"/>
          <w:b w:val="0"/>
          <w:i w:val="0"/>
          <w:color w:val="000000"/>
          <w:sz w:val="24"/>
        </w:rPr>
        <w:t>In addition to visual board tracking, our engineering team constructed a formal Agile sprint planning model (Planning_WMS.xlsx) to calculate work package durations, team lead allocations, and critical path milestones across the eight-week development lifecycle. Each sprint activity is governed by discrete start dates, expected working durations, completion dates, and a calculated refined calendar duration using the formula: Refined Duration = (End Date - Start Date) + 1.</w:t>
      </w:r>
    </w:p>
    <w:p>
      <w:pPr>
        <w:spacing w:before="0" w:after="80" w:line="480" w:lineRule="auto"/>
        <w:ind w:firstLine="720"/>
      </w:pPr>
      <w:r>
        <w:rPr>
          <w:rFonts w:ascii="Times New Roman" w:hAnsi="Times New Roman"/>
          <w:b w:val="0"/>
          <w:i w:val="0"/>
          <w:color w:val="000000"/>
          <w:sz w:val="24"/>
        </w:rPr>
        <w:t>Our four-sprint delivery roadmap was scheduled across an 8-week timeline:</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Advanced inventory control, low-stock watchlist, priority queue sorting, and stock locking (WMS-05 to WMS-07).</w:t>
      </w:r>
    </w:p>
    <w:p>
      <w:pPr>
        <w:spacing w:before="0" w:after="80" w:line="480" w:lineRule="auto"/>
        <w:ind w:firstLine="720"/>
      </w:pPr>
      <w:r>
        <w:rPr>
          <w:rFonts w:ascii="Times New Roman" w:hAnsi="Times New Roman"/>
          <w:b/>
          <w:i w:val="0"/>
          <w:color w:val="000000"/>
          <w:sz w:val="24"/>
        </w:rPr>
        <w:t xml:space="preserve">Sprint 3 (Integration &amp; Logistics): </w:t>
      </w:r>
      <w:r>
        <w:rPr>
          <w:rFonts w:ascii="Times New Roman" w:hAnsi="Times New Roman"/>
          <w:b w:val="0"/>
          <w:i w:val="0"/>
          <w:color w:val="000000"/>
          <w:sz w:val="24"/>
        </w:rPr>
        <w:t>Weeks 5 to 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Polish): </w:t>
      </w:r>
      <w:r>
        <w:rPr>
          <w:rFonts w:ascii="Times New Roman" w:hAnsi="Times New Roman"/>
          <w:b w:val="0"/>
          <w:i w:val="0"/>
          <w:color w:val="000000"/>
          <w:sz w:val="24"/>
        </w:rPr>
        <w:t>Weeks 7 to 8: Master test matrix execution (40 test cases), defect remediation, documentation finalization, and deployment readiness review.</w:t>
      </w:r>
    </w:p>
    <w:p>
      <w:pPr>
        <w:spacing w:before="200" w:after="0" w:line="480" w:lineRule="auto"/>
        <w:ind w:firstLine="0"/>
        <w:jc w:val="left"/>
      </w:pPr>
      <w:r>
        <w:rPr>
          <w:rFonts w:ascii="Times New Roman" w:hAnsi="Times New Roman"/>
          <w:b/>
          <w:i w:val="0"/>
          <w:color w:val="000000"/>
          <w:sz w:val="24"/>
        </w:rPr>
        <w:t>Figure 2</w:t>
      </w:r>
    </w:p>
    <w:p>
      <w:pPr>
        <w:spacing w:before="0" w:after="120" w:line="480" w:lineRule="auto"/>
        <w:ind w:firstLine="0"/>
        <w:jc w:val="left"/>
      </w:pPr>
      <w:r>
        <w:rPr>
          <w:rFonts w:ascii="Times New Roman" w:hAnsi="Times New Roman"/>
          <w:b w:val="0"/>
          <w:i/>
          <w:color w:val="000000"/>
          <w:sz w:val="24"/>
        </w:rPr>
        <w:t>Eight-Week Agile Delivery Roadmap and Sprint Milestone Gantt Chart</w:t>
      </w:r>
    </w:p>
    <w:p>
      <w:pPr>
        <w:spacing w:before="80" w:after="80" w:line="480" w:lineRule="auto"/>
        <w:jc w:val="center"/>
      </w:pPr>
      <w:r>
        <w:drawing>
          <wp:inline xmlns:a="http://schemas.openxmlformats.org/drawingml/2006/main" xmlns:pic="http://schemas.openxmlformats.org/drawingml/2006/picture">
            <wp:extent cx="5669280" cy="3787966"/>
            <wp:docPr id="2" name="Picture 2"/>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78796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2 presents our project delivery Gantt Chart spanning an eight-week lifecycle divided across four distinct sprints. The chart delineates work package durations, team lead allocations, and critical path milestones derived from our Planning_WMS.xlsx sprint schedule model.</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3)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200" w:after="0" w:line="480" w:lineRule="auto"/>
        <w:ind w:firstLine="0"/>
        <w:jc w:val="left"/>
      </w:pPr>
      <w:r>
        <w:rPr>
          <w:rFonts w:ascii="Times New Roman" w:hAnsi="Times New Roman"/>
          <w:b/>
          <w:i w:val="0"/>
          <w:color w:val="000000"/>
          <w:sz w:val="24"/>
        </w:rPr>
        <w:t>Figure 3</w:t>
      </w:r>
    </w:p>
    <w:p>
      <w:pPr>
        <w:spacing w:before="0" w:after="120" w:line="480" w:lineRule="auto"/>
        <w:ind w:firstLine="0"/>
        <w:jc w:val="left"/>
      </w:pPr>
      <w:r>
        <w:rPr>
          <w:rFonts w:ascii="Times New Roman" w:hAnsi="Times New Roman"/>
          <w:b w:val="0"/>
          <w:i/>
          <w:color w:val="000000"/>
          <w:sz w:val="24"/>
        </w:rPr>
        <w:t>Expanded Use Case Diagram for Warehouse Stock Inventory System</w:t>
      </w:r>
    </w:p>
    <w:p>
      <w:pPr>
        <w:spacing w:before="80" w:after="80" w:line="480" w:lineRule="auto"/>
        <w:jc w:val="center"/>
      </w:pPr>
      <w:r>
        <w:drawing>
          <wp:inline xmlns:a="http://schemas.openxmlformats.org/drawingml/2006/main" xmlns:pic="http://schemas.openxmlformats.org/drawingml/2006/picture">
            <wp:extent cx="5669280" cy="4459714"/>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2"/>
                    <a:stretch>
                      <a:fillRect/>
                    </a:stretch>
                  </pic:blipFill>
                  <pic:spPr>
                    <a:xfrm>
                      <a:off x="0" y="0"/>
                      <a:ext cx="5669280" cy="44597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3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4)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200" w:after="0" w:line="480" w:lineRule="auto"/>
        <w:ind w:firstLine="0"/>
        <w:jc w:val="left"/>
      </w:pPr>
      <w:r>
        <w:rPr>
          <w:rFonts w:ascii="Times New Roman" w:hAnsi="Times New Roman"/>
          <w:b/>
          <w:i w:val="0"/>
          <w:color w:val="000000"/>
          <w:sz w:val="24"/>
        </w:rPr>
        <w:t>Figure 4</w:t>
      </w:r>
    </w:p>
    <w:p>
      <w:pPr>
        <w:spacing w:before="0" w:after="120" w:line="480" w:lineRule="auto"/>
        <w:ind w:firstLine="0"/>
        <w:jc w:val="left"/>
      </w:pPr>
      <w:r>
        <w:rPr>
          <w:rFonts w:ascii="Times New Roman" w:hAnsi="Times New Roman"/>
          <w:b w:val="0"/>
          <w:i/>
          <w:color w:val="000000"/>
          <w:sz w:val="24"/>
        </w:rPr>
        <w:t>Sequence Diagram for User Authentication and Session Verification</w:t>
      </w:r>
    </w:p>
    <w:p>
      <w:pPr>
        <w:spacing w:before="80" w:after="80" w:line="480" w:lineRule="auto"/>
        <w:jc w:val="center"/>
      </w:pPr>
      <w:r>
        <w:drawing>
          <wp:inline xmlns:a="http://schemas.openxmlformats.org/drawingml/2006/main" xmlns:pic="http://schemas.openxmlformats.org/drawingml/2006/picture">
            <wp:extent cx="5669280" cy="4802749"/>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669280" cy="480274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4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(Stock Fulfillment Workflow)</w:t>
      </w:r>
    </w:p>
    <w:p>
      <w:pPr>
        <w:spacing w:before="0" w:after="80" w:line="480" w:lineRule="auto"/>
        <w:ind w:firstLine="720"/>
      </w:pPr>
      <w:r>
        <w:rPr>
          <w:rFonts w:ascii="Times New Roman" w:hAnsi="Times New Roman"/>
          <w:b w:val="0"/>
          <w:i w:val="0"/>
          <w:color w:val="000000"/>
          <w:sz w:val="24"/>
        </w:rPr>
        <w:t>The Activity Diagram (Figure 5) models the end-to-end workflow of processing stock requests across three dedicated swimlanes: Warehouse Clerk, Inventory System, and Supplier Gateway. The process originates at the initial node in the Warehouse Clerk swimlane, where the clerk reviews the stock request and triggers Initiate Stock Processing. Control transitions to the Inventory System swimlane to execute Check Stock Levels. A decision diamond evaluates Is Available?: if stock is insufficient ([No]), the request terminates at an activity stop node; if stock is available ([Yes]), control returns to the clerk to Provide Dispatch Details.</w:t>
      </w:r>
    </w:p>
    <w:p>
      <w:pPr>
        <w:spacing w:before="0" w:after="80" w:line="480" w:lineRule="auto"/>
        <w:ind w:firstLine="720"/>
      </w:pPr>
      <w:r>
        <w:rPr>
          <w:rFonts w:ascii="Times New Roman" w:hAnsi="Times New Roman"/>
          <w:b w:val="0"/>
          <w:i w:val="0"/>
          <w:color w:val="000000"/>
          <w:sz w:val="24"/>
        </w:rPr>
        <w:t>Once dispatch details are submitted, an asynchronous fork bar splits execution into two parallel branches: Branch 1 (Inventory System) executes Reserve Stock &amp; Update Inventory, while Branch 2 (Supplier Gateway) concurrently invokes Confirm with Supplier Gateway. A decision diamond in the supplier swimlane checks Is Confirmed?: if unconfirmed ([No]), execution halts at a stop node; if confirmed ([Yes]), flow continues to the synchronization join bar. Once both parallel paths merge at the join bar, the Inventory System executes Generate &amp; Print Dispatch Note, and the clerk executes Finalize Dispatch and Ship Items before reaching the activity final node.</w:t>
      </w:r>
    </w:p>
    <w:p>
      <w:pPr>
        <w:spacing w:before="200" w:after="0" w:line="480" w:lineRule="auto"/>
        <w:ind w:firstLine="0"/>
        <w:jc w:val="left"/>
      </w:pPr>
      <w:r>
        <w:rPr>
          <w:rFonts w:ascii="Times New Roman" w:hAnsi="Times New Roman"/>
          <w:b/>
          <w:i w:val="0"/>
          <w:color w:val="000000"/>
          <w:sz w:val="24"/>
        </w:rPr>
        <w:t>Figure 5</w:t>
      </w:r>
    </w:p>
    <w:p>
      <w:pPr>
        <w:spacing w:before="0" w:after="120" w:line="480" w:lineRule="auto"/>
        <w:ind w:firstLine="0"/>
        <w:jc w:val="left"/>
      </w:pPr>
      <w:r>
        <w:rPr>
          <w:rFonts w:ascii="Times New Roman" w:hAnsi="Times New Roman"/>
          <w:b w:val="0"/>
          <w:i/>
          <w:color w:val="000000"/>
          <w:sz w:val="24"/>
        </w:rPr>
        <w:t>Activity Diagram for End-to-End Stock Request Processing Across 3 Swimlanes</w:t>
      </w:r>
    </w:p>
    <w:p>
      <w:pPr>
        <w:spacing w:before="80" w:after="80" w:line="480" w:lineRule="auto"/>
        <w:jc w:val="center"/>
      </w:pPr>
      <w:r>
        <w:drawing>
          <wp:inline xmlns:a="http://schemas.openxmlformats.org/drawingml/2006/main" xmlns:pic="http://schemas.openxmlformats.org/drawingml/2006/picture">
            <wp:extent cx="5669280" cy="6472578"/>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669280" cy="6472578"/>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5 illustrates the operational workflow of stock request fulfillment across three swimlanes, highlighting decision guards, concurrent fork/join branches, and completion paths.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6) defines the core structural entities, domain attributes, and association multiplicities within the Warehouse Stock Inventory System. The model consists of eight domain classes: WarehouseClerk (storing clerkID, name, email, phone, and shift), WarehouseStaff (storing staffID, name, role, and phone), StockRequest (storing requestID, clerkID, staffID, requestDate, and status), RequestItem (storing requestItemID, requestID, productID, quantity, and unitCost), Product (storing productID, name, category, unitPrice, and stockQty), InventoryItem (storing itemID, productID, quantity, reorderLevel, and minStockLevel), DispatchNote (storing noteID, requestID, issueDate, totalAmount, and status), and StockTransaction (storing transactionID, noteID, amount, type, date, and status).</w:t>
      </w:r>
    </w:p>
    <w:p>
      <w:pPr>
        <w:spacing w:before="0" w:after="80" w:line="480" w:lineRule="auto"/>
        <w:ind w:firstLine="720"/>
      </w:pPr>
      <w:r>
        <w:rPr>
          <w:rFonts w:ascii="Times New Roman" w:hAnsi="Times New Roman"/>
          <w:b w:val="0"/>
          <w:i w:val="0"/>
          <w:color w:val="000000"/>
          <w:sz w:val="24"/>
        </w:rPr>
        <w:t>The structural associations define precise cardinality relationships across the domain: a single WarehouseClerk (1) can initiate zero to many StockRequests (0..*), and a WarehouseStaff member (1) oversees zero to many StockRequests (0..*). Each StockRequest (1) aggregates one or more RequestItems (1..*), with each RequestItem (0..*) referencing exactly one Product (1). Every Product (1) maintains a one-to-one mapping with an InventoryItem (1) for physical warehouse bin tracking. Furthermore, each completed StockRequest (1) generates exactly one DispatchNote (1), which produces a corresponding StockTransaction (1) audit record to guarantee end-to-end operational traceability.</w:t>
      </w:r>
    </w:p>
    <w:p>
      <w:pPr>
        <w:spacing w:before="200" w:after="0" w:line="480" w:lineRule="auto"/>
        <w:ind w:firstLine="0"/>
        <w:jc w:val="left"/>
      </w:pPr>
      <w:r>
        <w:rPr>
          <w:rFonts w:ascii="Times New Roman" w:hAnsi="Times New Roman"/>
          <w:b/>
          <w:i w:val="0"/>
          <w:color w:val="000000"/>
          <w:sz w:val="24"/>
        </w:rPr>
        <w:t>Figure 6</w:t>
      </w:r>
    </w:p>
    <w:p>
      <w:pPr>
        <w:spacing w:before="0" w:after="120" w:line="480" w:lineRule="auto"/>
        <w:ind w:firstLine="0"/>
        <w:jc w:val="left"/>
      </w:pPr>
      <w:r>
        <w:rPr>
          <w:rFonts w:ascii="Times New Roman" w:hAnsi="Times New Roman"/>
          <w:b w:val="0"/>
          <w:i/>
          <w:color w:val="000000"/>
          <w:sz w:val="24"/>
        </w:rPr>
        <w:t>Multi-Tier Class Diagram for Domain Entities and Multiplicity Relationships</w:t>
      </w:r>
    </w:p>
    <w:p>
      <w:pPr>
        <w:spacing w:before="80" w:after="80" w:line="480" w:lineRule="auto"/>
        <w:jc w:val="center"/>
      </w:pPr>
      <w:r>
        <w:drawing>
          <wp:inline xmlns:a="http://schemas.openxmlformats.org/drawingml/2006/main" xmlns:pic="http://schemas.openxmlformats.org/drawingml/2006/picture">
            <wp:extent cx="5669280" cy="6070929"/>
            <wp:docPr id="6" name="Picture 6"/>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669280" cy="607092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6 defines the structural domain model, detailing attribute specifications, visibility markers, and cardinality relationships across all eight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stability, our team designed and executed a master testing matrix of 40 test cases mapped across our 10 User Stories (4 test cases per story: 2 positive standard validation tests and 2 targeted negative or edge-case tests). Testing systematically evaluated four verification levels across each user story: Unit Testing, Integration Testing, System Testing, and User Acceptance Testing (UAT) (Myers et al., 2012; Jorgensen &amp; DeVries, 2021). Table 4 provides an itemized summary of test execution results across all 10 user stories.</w:t>
      </w:r>
    </w:p>
    <w:p>
      <w:pPr>
        <w:spacing w:before="200" w:after="0" w:line="480" w:lineRule="auto"/>
        <w:ind w:firstLine="0"/>
        <w:jc w:val="left"/>
      </w:pPr>
      <w:r>
        <w:rPr>
          <w:rFonts w:ascii="Times New Roman" w:hAnsi="Times New Roman"/>
          <w:b/>
          <w:i w:val="0"/>
          <w:color w:val="000000"/>
          <w:sz w:val="24"/>
        </w:rPr>
        <w:t>Table 4</w:t>
      </w:r>
    </w:p>
    <w:p>
      <w:pPr>
        <w:spacing w:before="0" w:after="120" w:line="480" w:lineRule="auto"/>
        <w:ind w:firstLine="0"/>
        <w:jc w:val="left"/>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executed, 30 passed successfully (75% pass rate), while 10 failed due to unhandled software edge cases (25% defect rate). Defect root-cause analysis indicated that all 10 failures stemmed from missing input validation (such as accepting blank login submissions or negative intake numbers) or unhandled external API timeouts (such as unregistered foreign barcodes and offline supplier gateways). These 10 failed test cases provide actionable defect logs for remediation during Sprint 2.</w:t>
      </w:r>
    </w:p>
    <w:p>
      <w:pPr>
        <w:spacing w:before="0" w:after="80" w:line="480" w:lineRule="auto"/>
        <w:ind w:firstLine="720"/>
      </w:pPr>
      <w:r>
        <w:rPr>
          <w:rFonts w:ascii="Times New Roman" w:hAnsi="Times New Roman"/>
          <w:b w:val="0"/>
          <w:i w:val="0"/>
          <w:color w:val="000000"/>
          <w:sz w:val="24"/>
        </w:rPr>
        <w:t>The complete master testing matrix spreadsheet containing all 40 detailed test cases, preconditions, execution steps, expected results, actual outputs, testing levels, and pass/fail indicators is available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sprint scheduling workbooks (Planning_WMS.xlsx),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