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65BD2" w14:textId="07E1B4C5" w:rsidR="002E5961" w:rsidRPr="00222521" w:rsidRDefault="00D1738A" w:rsidP="00222521">
      <w:pPr>
        <w:pStyle w:val="BodyText"/>
        <w:ind w:firstLine="0"/>
        <w:jc w:val="center"/>
        <w:rPr>
          <w:b/>
          <w:szCs w:val="22"/>
        </w:rPr>
      </w:pPr>
      <w:bookmarkStart w:id="0" w:name="_GoBack"/>
      <w:bookmarkEnd w:id="0"/>
      <w:r>
        <w:rPr>
          <w:b/>
          <w:szCs w:val="22"/>
        </w:rPr>
        <w:t>TERM SHEET</w:t>
      </w:r>
    </w:p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2088"/>
        <w:gridCol w:w="7560"/>
      </w:tblGrid>
      <w:tr w:rsidR="00222521" w14:paraId="03CD9594" w14:textId="77777777" w:rsidTr="0055753F">
        <w:trPr>
          <w:cantSplit/>
        </w:trPr>
        <w:tc>
          <w:tcPr>
            <w:tcW w:w="2088" w:type="dxa"/>
          </w:tcPr>
          <w:p w14:paraId="7DBD7DBE" w14:textId="2E9A6E7F" w:rsidR="00222521" w:rsidRDefault="00222521" w:rsidP="000F5DB5">
            <w:pPr>
              <w:widowControl w:val="0"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Company:</w:t>
            </w:r>
          </w:p>
        </w:tc>
        <w:tc>
          <w:tcPr>
            <w:tcW w:w="7560" w:type="dxa"/>
          </w:tcPr>
          <w:p w14:paraId="698DE66B" w14:textId="1B53A903" w:rsidR="00222521" w:rsidRPr="00B964CE" w:rsidRDefault="00D27CA8" w:rsidP="000F5DB5">
            <w:pPr>
              <w:widowControl w:val="0"/>
              <w:spacing w:after="2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[__________]</w:t>
            </w:r>
            <w:r w:rsidR="00ED185C">
              <w:rPr>
                <w:rFonts w:ascii="Times New Roman" w:hAnsi="Times New Roman" w:cs="Times New Roman"/>
              </w:rPr>
              <w:t>, a Delaware corporation.</w:t>
            </w:r>
          </w:p>
        </w:tc>
      </w:tr>
      <w:tr w:rsidR="00FA3503" w14:paraId="74B5318F" w14:textId="77777777" w:rsidTr="0055753F">
        <w:trPr>
          <w:cantSplit/>
        </w:trPr>
        <w:tc>
          <w:tcPr>
            <w:tcW w:w="2088" w:type="dxa"/>
          </w:tcPr>
          <w:p w14:paraId="6EFD68EB" w14:textId="77777777" w:rsidR="008803AD" w:rsidRPr="008803AD" w:rsidRDefault="006354CC" w:rsidP="000F5DB5">
            <w:pPr>
              <w:widowControl w:val="0"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Securities</w:t>
            </w:r>
            <w:r w:rsidRPr="008803A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560" w:type="dxa"/>
          </w:tcPr>
          <w:p w14:paraId="0AAEF337" w14:textId="19F5F2D0" w:rsidR="008803AD" w:rsidRPr="008803AD" w:rsidRDefault="00222521" w:rsidP="000F5DB5">
            <w:pPr>
              <w:widowControl w:val="0"/>
              <w:spacing w:after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Series</w:t>
            </w:r>
            <w:r w:rsidR="006354CC" w:rsidRPr="008803AD">
              <w:rPr>
                <w:rFonts w:ascii="Times New Roman" w:hAnsi="Times New Roman" w:cs="Times New Roman"/>
              </w:rPr>
              <w:t xml:space="preserve"> A Preferred Stock of the Company (“</w:t>
            </w:r>
            <w:r w:rsidR="006354CC" w:rsidRPr="00222521">
              <w:rPr>
                <w:rFonts w:ascii="Times New Roman" w:hAnsi="Times New Roman" w:cs="Times New Roman"/>
                <w:b/>
              </w:rPr>
              <w:t>Series A</w:t>
            </w:r>
            <w:r w:rsidR="006354CC">
              <w:rPr>
                <w:rFonts w:ascii="Times New Roman" w:hAnsi="Times New Roman" w:cs="Times New Roman"/>
              </w:rPr>
              <w:t xml:space="preserve">”). </w:t>
            </w:r>
          </w:p>
        </w:tc>
      </w:tr>
      <w:tr w:rsidR="00FA3503" w14:paraId="06DAAAFA" w14:textId="77777777" w:rsidTr="0055753F">
        <w:trPr>
          <w:cantSplit/>
        </w:trPr>
        <w:tc>
          <w:tcPr>
            <w:tcW w:w="2088" w:type="dxa"/>
          </w:tcPr>
          <w:p w14:paraId="663B3E12" w14:textId="3F85A36B" w:rsidR="008803AD" w:rsidRPr="008803AD" w:rsidRDefault="00222521" w:rsidP="000F5DB5">
            <w:pPr>
              <w:widowControl w:val="0"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Investment Amounts</w:t>
            </w:r>
            <w:r w:rsidR="006354CC" w:rsidRPr="008803A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560" w:type="dxa"/>
          </w:tcPr>
          <w:p w14:paraId="09C933F3" w14:textId="076FA73D" w:rsidR="008803AD" w:rsidRPr="006B138F" w:rsidRDefault="00D27CA8" w:rsidP="005676B2">
            <w:pPr>
              <w:widowControl w:val="0"/>
              <w:spacing w:after="240" w:line="240" w:lineRule="auto"/>
              <w:rPr>
                <w:rFonts w:ascii="Times New Roman" w:hAnsi="Times New Roman" w:cs="Times New Roman"/>
              </w:rPr>
            </w:pPr>
            <w:r w:rsidRPr="006B138F">
              <w:rPr>
                <w:rFonts w:ascii="Times New Roman" w:hAnsi="Times New Roman" w:cs="Times New Roman"/>
              </w:rPr>
              <w:t xml:space="preserve">$[_] </w:t>
            </w:r>
            <w:r w:rsidR="00222521" w:rsidRPr="006B138F">
              <w:rPr>
                <w:rFonts w:ascii="Times New Roman" w:hAnsi="Times New Roman" w:cs="Times New Roman"/>
              </w:rPr>
              <w:t xml:space="preserve">million from </w:t>
            </w:r>
            <w:r w:rsidR="00BD3CFD" w:rsidRPr="006B138F">
              <w:rPr>
                <w:rFonts w:ascii="Times New Roman" w:hAnsi="Times New Roman" w:cs="Times New Roman"/>
              </w:rPr>
              <w:t>[</w:t>
            </w:r>
            <w:r w:rsidR="00474564" w:rsidRPr="006B138F">
              <w:rPr>
                <w:rFonts w:ascii="Times New Roman" w:hAnsi="Times New Roman" w:cs="Times New Roman"/>
              </w:rPr>
              <w:t>__________</w:t>
            </w:r>
            <w:r w:rsidR="00BD3CFD" w:rsidRPr="006B138F">
              <w:rPr>
                <w:rFonts w:ascii="Times New Roman" w:hAnsi="Times New Roman" w:cs="Times New Roman"/>
              </w:rPr>
              <w:t>] (“</w:t>
            </w:r>
            <w:r w:rsidR="00BD3CFD" w:rsidRPr="006B138F">
              <w:rPr>
                <w:rFonts w:ascii="Times New Roman" w:hAnsi="Times New Roman" w:cs="Times New Roman"/>
                <w:b/>
              </w:rPr>
              <w:t>Lead Investor</w:t>
            </w:r>
            <w:r w:rsidR="00BD3CFD" w:rsidRPr="006B138F">
              <w:rPr>
                <w:rFonts w:ascii="Times New Roman" w:hAnsi="Times New Roman" w:cs="Times New Roman"/>
              </w:rPr>
              <w:t>”)</w:t>
            </w:r>
            <w:r w:rsidR="005676B2" w:rsidRPr="006B138F">
              <w:rPr>
                <w:rFonts w:ascii="Times New Roman" w:hAnsi="Times New Roman" w:cs="Times New Roman"/>
              </w:rPr>
              <w:br/>
            </w:r>
            <w:r w:rsidRPr="006B138F">
              <w:rPr>
                <w:rFonts w:ascii="Times New Roman" w:hAnsi="Times New Roman" w:cs="Times New Roman"/>
              </w:rPr>
              <w:t xml:space="preserve">$[_] </w:t>
            </w:r>
            <w:r w:rsidR="00222521" w:rsidRPr="006B138F">
              <w:rPr>
                <w:rFonts w:ascii="Times New Roman" w:hAnsi="Times New Roman" w:cs="Times New Roman"/>
              </w:rPr>
              <w:t xml:space="preserve">million from </w:t>
            </w:r>
            <w:r w:rsidR="001B49A4" w:rsidRPr="006B138F">
              <w:rPr>
                <w:rFonts w:ascii="Times New Roman" w:hAnsi="Times New Roman" w:cs="Times New Roman"/>
              </w:rPr>
              <w:t>other investors</w:t>
            </w:r>
            <w:r w:rsidR="005676B2" w:rsidRPr="006B138F">
              <w:rPr>
                <w:rFonts w:ascii="Times New Roman" w:hAnsi="Times New Roman" w:cs="Times New Roman"/>
              </w:rPr>
              <w:br/>
            </w:r>
            <w:r w:rsidR="000F4FA0" w:rsidRPr="006B138F">
              <w:rPr>
                <w:rFonts w:ascii="Times New Roman" w:hAnsi="Times New Roman" w:cs="Times New Roman"/>
              </w:rPr>
              <w:br/>
            </w:r>
            <w:r w:rsidR="00222521" w:rsidRPr="006B138F">
              <w:rPr>
                <w:rFonts w:ascii="Times New Roman" w:hAnsi="Times New Roman" w:cs="Times New Roman"/>
              </w:rPr>
              <w:t>Convertible notes and safes (“</w:t>
            </w:r>
            <w:r w:rsidR="00222521" w:rsidRPr="006B138F">
              <w:rPr>
                <w:rFonts w:ascii="Times New Roman" w:hAnsi="Times New Roman" w:cs="Times New Roman"/>
                <w:b/>
              </w:rPr>
              <w:t>Convertibles</w:t>
            </w:r>
            <w:r w:rsidR="00222521" w:rsidRPr="006B138F">
              <w:rPr>
                <w:rFonts w:ascii="Times New Roman" w:hAnsi="Times New Roman" w:cs="Times New Roman"/>
              </w:rPr>
              <w:t>”) convert on their terms</w:t>
            </w:r>
            <w:r w:rsidR="005676B2" w:rsidRPr="006B138F">
              <w:rPr>
                <w:rFonts w:ascii="Times New Roman" w:hAnsi="Times New Roman" w:cs="Times New Roman"/>
              </w:rPr>
              <w:t xml:space="preserve"> into shadow series of preferred stock (together with the Series A, the “</w:t>
            </w:r>
            <w:r w:rsidR="005676B2" w:rsidRPr="006B138F">
              <w:rPr>
                <w:rFonts w:ascii="Times New Roman" w:hAnsi="Times New Roman" w:cs="Times New Roman"/>
                <w:b/>
              </w:rPr>
              <w:t>Preferred Stock</w:t>
            </w:r>
            <w:r w:rsidR="005676B2" w:rsidRPr="006B138F">
              <w:rPr>
                <w:rFonts w:ascii="Times New Roman" w:hAnsi="Times New Roman" w:cs="Times New Roman"/>
              </w:rPr>
              <w:t>”)</w:t>
            </w:r>
            <w:r w:rsidR="000F4FA0" w:rsidRPr="006B138F">
              <w:rPr>
                <w:rFonts w:ascii="Times New Roman" w:hAnsi="Times New Roman" w:cs="Times New Roman"/>
              </w:rPr>
              <w:t>.</w:t>
            </w:r>
          </w:p>
        </w:tc>
      </w:tr>
      <w:tr w:rsidR="00FA3503" w14:paraId="49093BEA" w14:textId="77777777" w:rsidTr="0055753F">
        <w:trPr>
          <w:cantSplit/>
        </w:trPr>
        <w:tc>
          <w:tcPr>
            <w:tcW w:w="2088" w:type="dxa"/>
          </w:tcPr>
          <w:p w14:paraId="67E44AE4" w14:textId="77777777" w:rsidR="008803AD" w:rsidRPr="008803AD" w:rsidRDefault="006354CC" w:rsidP="000F5DB5">
            <w:pPr>
              <w:widowControl w:val="0"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Valuation</w:t>
            </w:r>
            <w:r w:rsidRPr="008803A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560" w:type="dxa"/>
          </w:tcPr>
          <w:p w14:paraId="3C19E8EA" w14:textId="3165191B" w:rsidR="008803AD" w:rsidRPr="006B138F" w:rsidRDefault="00EB1AD2" w:rsidP="000F5DB5">
            <w:pPr>
              <w:widowControl w:val="0"/>
              <w:spacing w:after="240"/>
              <w:jc w:val="both"/>
              <w:rPr>
                <w:rFonts w:ascii="Times New Roman" w:hAnsi="Times New Roman" w:cs="Times New Roman"/>
              </w:rPr>
            </w:pPr>
            <w:r w:rsidRPr="006B138F">
              <w:rPr>
                <w:rFonts w:ascii="Times New Roman" w:hAnsi="Times New Roman" w:cs="Times New Roman"/>
              </w:rPr>
              <w:t>$[_]</w:t>
            </w:r>
            <w:r w:rsidR="00222521" w:rsidRPr="006B138F">
              <w:rPr>
                <w:rFonts w:ascii="Times New Roman" w:hAnsi="Times New Roman" w:cs="Times New Roman"/>
              </w:rPr>
              <w:t xml:space="preserve"> million </w:t>
            </w:r>
            <w:r w:rsidR="005B578F" w:rsidRPr="006B138F">
              <w:rPr>
                <w:rFonts w:ascii="Times New Roman" w:hAnsi="Times New Roman" w:cs="Times New Roman"/>
                <w:b/>
                <w:u w:val="single"/>
              </w:rPr>
              <w:t>post</w:t>
            </w:r>
            <w:r w:rsidR="00222521" w:rsidRPr="006B138F">
              <w:rPr>
                <w:rFonts w:ascii="Times New Roman" w:hAnsi="Times New Roman" w:cs="Times New Roman"/>
                <w:b/>
                <w:u w:val="single"/>
              </w:rPr>
              <w:t>-money</w:t>
            </w:r>
            <w:r w:rsidR="00222521" w:rsidRPr="006B138F">
              <w:rPr>
                <w:rFonts w:ascii="Times New Roman" w:hAnsi="Times New Roman" w:cs="Times New Roman"/>
              </w:rPr>
              <w:t xml:space="preserve"> valuation</w:t>
            </w:r>
            <w:r w:rsidR="005B578F" w:rsidRPr="006B138F">
              <w:rPr>
                <w:rFonts w:ascii="Times New Roman" w:hAnsi="Times New Roman" w:cs="Times New Roman"/>
              </w:rPr>
              <w:t>, including an</w:t>
            </w:r>
            <w:r w:rsidR="00640A34" w:rsidRPr="006B138F">
              <w:rPr>
                <w:rFonts w:ascii="Times New Roman" w:hAnsi="Times New Roman" w:cs="Times New Roman"/>
              </w:rPr>
              <w:t xml:space="preserve"> </w:t>
            </w:r>
            <w:r w:rsidR="006354CC" w:rsidRPr="006B138F">
              <w:rPr>
                <w:rFonts w:ascii="Times New Roman" w:hAnsi="Times New Roman" w:cs="Times New Roman"/>
              </w:rPr>
              <w:t>available option pool</w:t>
            </w:r>
            <w:r w:rsidR="00640A34" w:rsidRPr="006B138F">
              <w:rPr>
                <w:rFonts w:ascii="Times New Roman" w:hAnsi="Times New Roman" w:cs="Times New Roman"/>
              </w:rPr>
              <w:t xml:space="preserve"> equal to </w:t>
            </w:r>
            <w:r w:rsidR="00D27CA8" w:rsidRPr="006B138F">
              <w:rPr>
                <w:rFonts w:ascii="Times New Roman" w:hAnsi="Times New Roman" w:cs="Times New Roman"/>
              </w:rPr>
              <w:t>[_</w:t>
            </w:r>
            <w:proofErr w:type="gramStart"/>
            <w:r w:rsidR="00D27CA8" w:rsidRPr="006B138F">
              <w:rPr>
                <w:rFonts w:ascii="Times New Roman" w:hAnsi="Times New Roman" w:cs="Times New Roman"/>
              </w:rPr>
              <w:t>_]</w:t>
            </w:r>
            <w:r w:rsidR="00640A34" w:rsidRPr="006B138F">
              <w:rPr>
                <w:rFonts w:ascii="Times New Roman" w:hAnsi="Times New Roman" w:cs="Times New Roman"/>
              </w:rPr>
              <w:t>%</w:t>
            </w:r>
            <w:proofErr w:type="gramEnd"/>
            <w:r w:rsidR="00640A34" w:rsidRPr="006B138F">
              <w:rPr>
                <w:rFonts w:ascii="Times New Roman" w:hAnsi="Times New Roman" w:cs="Times New Roman"/>
              </w:rPr>
              <w:t xml:space="preserve"> of the post-Closing fully-diluted capitalization</w:t>
            </w:r>
            <w:r w:rsidR="006354CC" w:rsidRPr="006B138F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FA3503" w14:paraId="1701AA61" w14:textId="77777777" w:rsidTr="0055753F">
        <w:trPr>
          <w:cantSplit/>
        </w:trPr>
        <w:tc>
          <w:tcPr>
            <w:tcW w:w="2088" w:type="dxa"/>
          </w:tcPr>
          <w:p w14:paraId="024C50DC" w14:textId="77777777" w:rsidR="008803AD" w:rsidRPr="008803AD" w:rsidRDefault="006354CC" w:rsidP="000F5DB5">
            <w:pPr>
              <w:widowControl w:val="0"/>
              <w:spacing w:after="240"/>
              <w:rPr>
                <w:rFonts w:ascii="Times New Roman" w:hAnsi="Times New Roman" w:cs="Times New Roman"/>
              </w:rPr>
            </w:pPr>
            <w:r w:rsidRPr="008803AD">
              <w:rPr>
                <w:rFonts w:ascii="Times New Roman" w:hAnsi="Times New Roman" w:cs="Times New Roman"/>
              </w:rPr>
              <w:t>Liquidation Preference:</w:t>
            </w:r>
          </w:p>
        </w:tc>
        <w:tc>
          <w:tcPr>
            <w:tcW w:w="7560" w:type="dxa"/>
          </w:tcPr>
          <w:p w14:paraId="44C6BB06" w14:textId="274249CD" w:rsidR="008803AD" w:rsidRPr="006B138F" w:rsidRDefault="006354CC" w:rsidP="000F5DB5">
            <w:pPr>
              <w:pStyle w:val="TableText"/>
              <w:widowControl w:val="0"/>
              <w:jc w:val="both"/>
              <w:rPr>
                <w:sz w:val="22"/>
                <w:szCs w:val="22"/>
              </w:rPr>
            </w:pPr>
            <w:r w:rsidRPr="006B138F">
              <w:rPr>
                <w:sz w:val="22"/>
                <w:szCs w:val="22"/>
              </w:rPr>
              <w:t>1x</w:t>
            </w:r>
            <w:r w:rsidR="00222521" w:rsidRPr="006B138F">
              <w:rPr>
                <w:sz w:val="22"/>
                <w:szCs w:val="22"/>
              </w:rPr>
              <w:t xml:space="preserve"> non-participating</w:t>
            </w:r>
            <w:r w:rsidR="006B30F1" w:rsidRPr="006B138F">
              <w:rPr>
                <w:sz w:val="22"/>
                <w:szCs w:val="22"/>
              </w:rPr>
              <w:t xml:space="preserve"> preference.  </w:t>
            </w:r>
            <w:r w:rsidR="009054EE" w:rsidRPr="006B138F">
              <w:rPr>
                <w:sz w:val="22"/>
                <w:szCs w:val="22"/>
              </w:rPr>
              <w:t>A</w:t>
            </w:r>
            <w:r w:rsidR="006B30F1" w:rsidRPr="006B138F">
              <w:rPr>
                <w:sz w:val="22"/>
                <w:szCs w:val="22"/>
              </w:rPr>
              <w:t xml:space="preserve"> sale of all or substantially all of the </w:t>
            </w:r>
            <w:r w:rsidR="00802803" w:rsidRPr="006B138F">
              <w:rPr>
                <w:sz w:val="22"/>
                <w:szCs w:val="22"/>
              </w:rPr>
              <w:t>Company’s assets</w:t>
            </w:r>
            <w:r w:rsidR="009054EE" w:rsidRPr="006B138F">
              <w:rPr>
                <w:sz w:val="22"/>
                <w:szCs w:val="22"/>
              </w:rPr>
              <w:t>, or a merger</w:t>
            </w:r>
            <w:r w:rsidR="00802803" w:rsidRPr="006B138F">
              <w:rPr>
                <w:sz w:val="22"/>
                <w:szCs w:val="22"/>
              </w:rPr>
              <w:t xml:space="preserve"> (collectively, a “</w:t>
            </w:r>
            <w:r w:rsidR="00802803" w:rsidRPr="006B138F">
              <w:rPr>
                <w:b/>
                <w:sz w:val="22"/>
                <w:szCs w:val="22"/>
              </w:rPr>
              <w:t>Company Sale</w:t>
            </w:r>
            <w:r w:rsidR="00802803" w:rsidRPr="006B138F">
              <w:rPr>
                <w:sz w:val="22"/>
                <w:szCs w:val="22"/>
              </w:rPr>
              <w:t>”)</w:t>
            </w:r>
            <w:r w:rsidR="009054EE" w:rsidRPr="006B138F">
              <w:rPr>
                <w:sz w:val="22"/>
                <w:szCs w:val="22"/>
              </w:rPr>
              <w:t xml:space="preserve">, will be </w:t>
            </w:r>
            <w:r w:rsidR="006B30F1" w:rsidRPr="006B138F">
              <w:rPr>
                <w:sz w:val="22"/>
                <w:szCs w:val="22"/>
              </w:rPr>
              <w:t>treated as a liquidation.</w:t>
            </w:r>
          </w:p>
        </w:tc>
      </w:tr>
      <w:tr w:rsidR="00FA3503" w14:paraId="09061E90" w14:textId="77777777" w:rsidTr="0055753F">
        <w:trPr>
          <w:cantSplit/>
        </w:trPr>
        <w:tc>
          <w:tcPr>
            <w:tcW w:w="2088" w:type="dxa"/>
          </w:tcPr>
          <w:p w14:paraId="35F20383" w14:textId="77777777" w:rsidR="008803AD" w:rsidRPr="008803AD" w:rsidRDefault="006354CC" w:rsidP="000F5DB5">
            <w:pPr>
              <w:widowControl w:val="0"/>
              <w:spacing w:after="240"/>
              <w:rPr>
                <w:rFonts w:ascii="Times New Roman" w:hAnsi="Times New Roman" w:cs="Times New Roman"/>
              </w:rPr>
            </w:pPr>
            <w:r w:rsidRPr="008803AD">
              <w:rPr>
                <w:rFonts w:ascii="Times New Roman" w:hAnsi="Times New Roman" w:cs="Times New Roman"/>
              </w:rPr>
              <w:t>Dividends:</w:t>
            </w:r>
          </w:p>
        </w:tc>
        <w:tc>
          <w:tcPr>
            <w:tcW w:w="7560" w:type="dxa"/>
          </w:tcPr>
          <w:p w14:paraId="207D7BE1" w14:textId="6D02D5E1" w:rsidR="008803AD" w:rsidRPr="006B138F" w:rsidRDefault="005B4F37" w:rsidP="000F5DB5">
            <w:pPr>
              <w:pStyle w:val="TableText"/>
              <w:widowControl w:val="0"/>
              <w:jc w:val="both"/>
              <w:rPr>
                <w:sz w:val="22"/>
                <w:szCs w:val="22"/>
              </w:rPr>
            </w:pPr>
            <w:r w:rsidRPr="006B138F">
              <w:rPr>
                <w:kern w:val="28"/>
                <w:sz w:val="22"/>
                <w:szCs w:val="22"/>
              </w:rPr>
              <w:t>6</w:t>
            </w:r>
            <w:r w:rsidR="006354CC" w:rsidRPr="006B138F">
              <w:rPr>
                <w:kern w:val="28"/>
                <w:sz w:val="22"/>
                <w:szCs w:val="22"/>
              </w:rPr>
              <w:t xml:space="preserve">% noncumulative, </w:t>
            </w:r>
            <w:r w:rsidR="00230FB8" w:rsidRPr="006B138F">
              <w:rPr>
                <w:kern w:val="28"/>
                <w:sz w:val="22"/>
                <w:szCs w:val="22"/>
              </w:rPr>
              <w:t xml:space="preserve">payable </w:t>
            </w:r>
            <w:r w:rsidR="006354CC" w:rsidRPr="006B138F">
              <w:rPr>
                <w:kern w:val="28"/>
                <w:sz w:val="22"/>
                <w:szCs w:val="22"/>
              </w:rPr>
              <w:t xml:space="preserve">if and when declared by the Board of Directors.   </w:t>
            </w:r>
          </w:p>
        </w:tc>
      </w:tr>
      <w:tr w:rsidR="00FA3503" w14:paraId="3665E270" w14:textId="77777777" w:rsidTr="0055753F">
        <w:trPr>
          <w:cantSplit/>
        </w:trPr>
        <w:tc>
          <w:tcPr>
            <w:tcW w:w="2088" w:type="dxa"/>
          </w:tcPr>
          <w:p w14:paraId="4ACF3A27" w14:textId="7E5DEA76" w:rsidR="008803AD" w:rsidRPr="008803AD" w:rsidRDefault="006354CC" w:rsidP="000F5DB5">
            <w:pPr>
              <w:widowControl w:val="0"/>
              <w:spacing w:after="240"/>
              <w:rPr>
                <w:rFonts w:ascii="Times New Roman" w:hAnsi="Times New Roman" w:cs="Times New Roman"/>
              </w:rPr>
            </w:pPr>
            <w:r w:rsidRPr="008803AD">
              <w:rPr>
                <w:rFonts w:ascii="Times New Roman" w:hAnsi="Times New Roman" w:cs="Times New Roman"/>
              </w:rPr>
              <w:t>Conversion</w:t>
            </w:r>
            <w:r w:rsidR="00F22AEB">
              <w:rPr>
                <w:rFonts w:ascii="Times New Roman" w:hAnsi="Times New Roman" w:cs="Times New Roman"/>
              </w:rPr>
              <w:t xml:space="preserve"> to Common Stock</w:t>
            </w:r>
            <w:r w:rsidRPr="008803A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560" w:type="dxa"/>
          </w:tcPr>
          <w:p w14:paraId="0AF6BAB8" w14:textId="4584D5A9" w:rsidR="008803AD" w:rsidRPr="006B138F" w:rsidRDefault="00F22AEB" w:rsidP="000978D5">
            <w:pPr>
              <w:widowControl w:val="0"/>
              <w:tabs>
                <w:tab w:val="left" w:pos="4302"/>
              </w:tabs>
              <w:spacing w:after="240"/>
              <w:jc w:val="both"/>
              <w:rPr>
                <w:rFonts w:ascii="Times New Roman" w:hAnsi="Times New Roman" w:cs="Times New Roman"/>
              </w:rPr>
            </w:pPr>
            <w:r w:rsidRPr="006B138F">
              <w:rPr>
                <w:rFonts w:ascii="Times New Roman" w:hAnsi="Times New Roman" w:cs="Times New Roman"/>
              </w:rPr>
              <w:t xml:space="preserve">At holder’s option </w:t>
            </w:r>
            <w:r w:rsidR="004F5658" w:rsidRPr="006B138F">
              <w:rPr>
                <w:rFonts w:ascii="Times New Roman" w:hAnsi="Times New Roman" w:cs="Times New Roman"/>
              </w:rPr>
              <w:t>and automatically on (</w:t>
            </w:r>
            <w:proofErr w:type="spellStart"/>
            <w:r w:rsidR="004F5658" w:rsidRPr="006B138F">
              <w:rPr>
                <w:rFonts w:ascii="Times New Roman" w:hAnsi="Times New Roman" w:cs="Times New Roman"/>
              </w:rPr>
              <w:t>i</w:t>
            </w:r>
            <w:proofErr w:type="spellEnd"/>
            <w:r w:rsidR="004F5658" w:rsidRPr="006B138F">
              <w:rPr>
                <w:rFonts w:ascii="Times New Roman" w:hAnsi="Times New Roman" w:cs="Times New Roman"/>
              </w:rPr>
              <w:t xml:space="preserve">) </w:t>
            </w:r>
            <w:r w:rsidR="006354CC" w:rsidRPr="006B138F">
              <w:rPr>
                <w:rFonts w:ascii="Times New Roman" w:hAnsi="Times New Roman" w:cs="Times New Roman"/>
              </w:rPr>
              <w:t xml:space="preserve">IPO </w:t>
            </w:r>
            <w:r w:rsidR="004F5658" w:rsidRPr="006B138F">
              <w:rPr>
                <w:rFonts w:ascii="Times New Roman" w:hAnsi="Times New Roman" w:cs="Times New Roman"/>
              </w:rPr>
              <w:t xml:space="preserve">or (ii) </w:t>
            </w:r>
            <w:r w:rsidR="00054F77" w:rsidRPr="006B138F">
              <w:rPr>
                <w:rFonts w:ascii="Times New Roman" w:hAnsi="Times New Roman" w:cs="Times New Roman"/>
              </w:rPr>
              <w:t>approval of a</w:t>
            </w:r>
            <w:r w:rsidR="006B138F">
              <w:rPr>
                <w:rFonts w:ascii="Times New Roman" w:hAnsi="Times New Roman" w:cs="Times New Roman"/>
              </w:rPr>
              <w:t xml:space="preserve"> majority</w:t>
            </w:r>
            <w:r w:rsidR="00054F77" w:rsidRPr="006B138F">
              <w:rPr>
                <w:rFonts w:ascii="Times New Roman" w:hAnsi="Times New Roman" w:cs="Times New Roman"/>
              </w:rPr>
              <w:t xml:space="preserve"> of </w:t>
            </w:r>
            <w:r w:rsidR="006354CC" w:rsidRPr="006B138F">
              <w:rPr>
                <w:rFonts w:ascii="Times New Roman" w:hAnsi="Times New Roman" w:cs="Times New Roman"/>
              </w:rPr>
              <w:t>Preferred Stock (on an as-converted basis)</w:t>
            </w:r>
            <w:r w:rsidR="00BB7CC5" w:rsidRPr="006B138F">
              <w:rPr>
                <w:rFonts w:ascii="Times New Roman" w:hAnsi="Times New Roman" w:cs="Times New Roman"/>
              </w:rPr>
              <w:t xml:space="preserve"> (the “</w:t>
            </w:r>
            <w:r w:rsidR="00BB7CC5" w:rsidRPr="006B138F">
              <w:rPr>
                <w:rFonts w:ascii="Times New Roman" w:hAnsi="Times New Roman" w:cs="Times New Roman"/>
                <w:b/>
              </w:rPr>
              <w:t>Preferred Majority</w:t>
            </w:r>
            <w:r w:rsidR="00BB7CC5" w:rsidRPr="006B138F">
              <w:rPr>
                <w:rFonts w:ascii="Times New Roman" w:hAnsi="Times New Roman" w:cs="Times New Roman"/>
              </w:rPr>
              <w:t>”)</w:t>
            </w:r>
            <w:r w:rsidR="006354CC" w:rsidRPr="006B138F">
              <w:rPr>
                <w:rFonts w:ascii="Times New Roman" w:hAnsi="Times New Roman" w:cs="Times New Roman"/>
              </w:rPr>
              <w:t>.</w:t>
            </w:r>
            <w:r w:rsidRPr="006B138F">
              <w:rPr>
                <w:rFonts w:ascii="Times New Roman" w:hAnsi="Times New Roman" w:cs="Times New Roman"/>
              </w:rPr>
              <w:t xml:space="preserve">  Conversion ratio initially 1-to-1, subject to standard adjustments.</w:t>
            </w:r>
          </w:p>
        </w:tc>
      </w:tr>
      <w:tr w:rsidR="00FA3503" w14:paraId="5E131D1B" w14:textId="77777777" w:rsidTr="0055753F">
        <w:trPr>
          <w:cantSplit/>
        </w:trPr>
        <w:tc>
          <w:tcPr>
            <w:tcW w:w="2088" w:type="dxa"/>
          </w:tcPr>
          <w:p w14:paraId="65947A75" w14:textId="77777777" w:rsidR="008803AD" w:rsidRPr="008803AD" w:rsidRDefault="006354CC" w:rsidP="000F5DB5">
            <w:pPr>
              <w:widowControl w:val="0"/>
              <w:spacing w:after="240"/>
              <w:rPr>
                <w:rFonts w:ascii="Times New Roman" w:hAnsi="Times New Roman" w:cs="Times New Roman"/>
              </w:rPr>
            </w:pPr>
            <w:r w:rsidRPr="008803AD">
              <w:rPr>
                <w:rFonts w:ascii="Times New Roman" w:hAnsi="Times New Roman" w:cs="Times New Roman"/>
              </w:rPr>
              <w:t>Voting Rights:</w:t>
            </w:r>
          </w:p>
        </w:tc>
        <w:tc>
          <w:tcPr>
            <w:tcW w:w="7560" w:type="dxa"/>
          </w:tcPr>
          <w:p w14:paraId="0C2AB94B" w14:textId="4E33FAB6" w:rsidR="00A55D8C" w:rsidRPr="00A55D8C" w:rsidRDefault="006354CC" w:rsidP="000F5DB5">
            <w:pPr>
              <w:widowControl w:val="0"/>
              <w:tabs>
                <w:tab w:val="left" w:pos="4302"/>
              </w:tabs>
              <w:spacing w:after="2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Approval of </w:t>
            </w:r>
            <w:r w:rsidR="006B05D2">
              <w:rPr>
                <w:rFonts w:ascii="Times New Roman" w:hAnsi="Times New Roman" w:cs="Times New Roman"/>
              </w:rPr>
              <w:t>the Preferred Majority</w:t>
            </w:r>
            <w:r w:rsidRPr="008803AD">
              <w:rPr>
                <w:rFonts w:ascii="Times New Roman" w:hAnsi="Times New Roman" w:cs="Times New Roman"/>
              </w:rPr>
              <w:t xml:space="preserve"> </w:t>
            </w:r>
            <w:r w:rsidR="002A6F2D">
              <w:rPr>
                <w:rFonts w:ascii="Times New Roman" w:hAnsi="Times New Roman" w:cs="Times New Roman"/>
              </w:rPr>
              <w:t xml:space="preserve">required </w:t>
            </w:r>
            <w:r w:rsidRPr="008803AD">
              <w:rPr>
                <w:rFonts w:ascii="Times New Roman" w:hAnsi="Times New Roman" w:cs="Times New Roman"/>
              </w:rPr>
              <w:t>to (</w:t>
            </w:r>
            <w:proofErr w:type="spellStart"/>
            <w:r w:rsidRPr="008803AD">
              <w:rPr>
                <w:rFonts w:ascii="Times New Roman" w:hAnsi="Times New Roman" w:cs="Times New Roman"/>
              </w:rPr>
              <w:t>i</w:t>
            </w:r>
            <w:proofErr w:type="spellEnd"/>
            <w:r w:rsidRPr="008803AD">
              <w:rPr>
                <w:rFonts w:ascii="Times New Roman" w:hAnsi="Times New Roman" w:cs="Times New Roman"/>
              </w:rPr>
              <w:t>) change rights</w:t>
            </w:r>
            <w:r>
              <w:rPr>
                <w:rFonts w:ascii="Times New Roman" w:hAnsi="Times New Roman" w:cs="Times New Roman"/>
              </w:rPr>
              <w:t>, preferences or privileges</w:t>
            </w:r>
            <w:r w:rsidRPr="008803AD">
              <w:rPr>
                <w:rFonts w:ascii="Times New Roman" w:hAnsi="Times New Roman" w:cs="Times New Roman"/>
              </w:rPr>
              <w:t xml:space="preserve"> of the </w:t>
            </w:r>
            <w:r>
              <w:rPr>
                <w:rFonts w:ascii="Times New Roman" w:hAnsi="Times New Roman" w:cs="Times New Roman"/>
              </w:rPr>
              <w:t>Preferred Stock</w:t>
            </w:r>
            <w:r w:rsidR="001F4CA9">
              <w:rPr>
                <w:rFonts w:ascii="Times New Roman" w:hAnsi="Times New Roman" w:cs="Times New Roman"/>
              </w:rPr>
              <w:t xml:space="preserve">; </w:t>
            </w:r>
            <w:r w:rsidRPr="008803AD">
              <w:rPr>
                <w:rFonts w:ascii="Times New Roman" w:hAnsi="Times New Roman" w:cs="Times New Roman"/>
              </w:rPr>
              <w:t xml:space="preserve">(ii) change the authorized number of shares; (iii) </w:t>
            </w:r>
            <w:r w:rsidR="002B6CE6">
              <w:rPr>
                <w:rFonts w:ascii="Times New Roman" w:hAnsi="Times New Roman" w:cs="Times New Roman"/>
              </w:rPr>
              <w:t>create</w:t>
            </w:r>
            <w:r w:rsidR="00725D04">
              <w:rPr>
                <w:rFonts w:ascii="Times New Roman" w:hAnsi="Times New Roman" w:cs="Times New Roman"/>
              </w:rPr>
              <w:t xml:space="preserve"> </w:t>
            </w:r>
            <w:r w:rsidR="00120655">
              <w:rPr>
                <w:rFonts w:ascii="Times New Roman" w:hAnsi="Times New Roman" w:cs="Times New Roman"/>
              </w:rPr>
              <w:t>securities</w:t>
            </w:r>
            <w:r w:rsidR="00AD3EF5">
              <w:rPr>
                <w:rFonts w:ascii="Times New Roman" w:hAnsi="Times New Roman" w:cs="Times New Roman"/>
              </w:rPr>
              <w:t xml:space="preserve"> senior or </w:t>
            </w:r>
            <w:proofErr w:type="spellStart"/>
            <w:r w:rsidR="00AD3EF5">
              <w:rPr>
                <w:rFonts w:ascii="Times New Roman" w:hAnsi="Times New Roman" w:cs="Times New Roman"/>
              </w:rPr>
              <w:t>pari</w:t>
            </w:r>
            <w:proofErr w:type="spellEnd"/>
            <w:r w:rsidR="00AD3E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D3EF5">
              <w:rPr>
                <w:rFonts w:ascii="Times New Roman" w:hAnsi="Times New Roman" w:cs="Times New Roman"/>
              </w:rPr>
              <w:t>passu</w:t>
            </w:r>
            <w:proofErr w:type="spellEnd"/>
            <w:r w:rsidR="00AD3EF5">
              <w:rPr>
                <w:rFonts w:ascii="Times New Roman" w:hAnsi="Times New Roman" w:cs="Times New Roman"/>
              </w:rPr>
              <w:t xml:space="preserve"> to the </w:t>
            </w:r>
            <w:r w:rsidR="007A2772">
              <w:rPr>
                <w:rFonts w:ascii="Times New Roman" w:hAnsi="Times New Roman" w:cs="Times New Roman"/>
              </w:rPr>
              <w:t xml:space="preserve">existing </w:t>
            </w:r>
            <w:r w:rsidR="00AD3EF5">
              <w:rPr>
                <w:rFonts w:ascii="Times New Roman" w:hAnsi="Times New Roman" w:cs="Times New Roman"/>
              </w:rPr>
              <w:t>Preferred Stock</w:t>
            </w:r>
            <w:r w:rsidRPr="008803AD">
              <w:rPr>
                <w:rFonts w:ascii="Times New Roman" w:hAnsi="Times New Roman" w:cs="Times New Roman"/>
              </w:rPr>
              <w:t>; (iv) redeem or repurchase any shares (</w:t>
            </w:r>
            <w:r w:rsidR="00E21E83">
              <w:rPr>
                <w:rFonts w:ascii="Times New Roman" w:hAnsi="Times New Roman" w:cs="Times New Roman"/>
              </w:rPr>
              <w:t>except for purchases at cost upon termination of services or exercises of c</w:t>
            </w:r>
            <w:r>
              <w:rPr>
                <w:rFonts w:ascii="Times New Roman" w:hAnsi="Times New Roman" w:cs="Times New Roman"/>
              </w:rPr>
              <w:t>ontractual right</w:t>
            </w:r>
            <w:r w:rsidR="00E21E83">
              <w:rPr>
                <w:rFonts w:ascii="Times New Roman" w:hAnsi="Times New Roman" w:cs="Times New Roman"/>
              </w:rPr>
              <w:t xml:space="preserve">s </w:t>
            </w:r>
            <w:r>
              <w:rPr>
                <w:rFonts w:ascii="Times New Roman" w:hAnsi="Times New Roman" w:cs="Times New Roman"/>
              </w:rPr>
              <w:t>of first refusal</w:t>
            </w:r>
            <w:r w:rsidRPr="008E3EE1">
              <w:rPr>
                <w:rFonts w:ascii="Times New Roman" w:hAnsi="Times New Roman" w:cs="Times New Roman"/>
              </w:rPr>
              <w:t xml:space="preserve">); (v) declare or pay any dividend; (vi) change the authorized number of directors; </w:t>
            </w:r>
            <w:r w:rsidR="00677DF5">
              <w:rPr>
                <w:rFonts w:ascii="Times New Roman" w:hAnsi="Times New Roman" w:cs="Times New Roman"/>
              </w:rPr>
              <w:t xml:space="preserve">or </w:t>
            </w:r>
            <w:r w:rsidRPr="008E3EE1">
              <w:rPr>
                <w:rFonts w:ascii="Times New Roman" w:hAnsi="Times New Roman" w:cs="Times New Roman"/>
              </w:rPr>
              <w:t xml:space="preserve">(vii) liquidate or dissolve, including </w:t>
            </w:r>
            <w:r w:rsidR="00717F78">
              <w:rPr>
                <w:rFonts w:ascii="Times New Roman" w:hAnsi="Times New Roman" w:cs="Times New Roman"/>
              </w:rPr>
              <w:t>a Company Sale</w:t>
            </w:r>
            <w:r w:rsidRPr="008803AD">
              <w:rPr>
                <w:rFonts w:ascii="Times New Roman" w:hAnsi="Times New Roman" w:cs="Times New Roman"/>
              </w:rPr>
              <w:t>.</w:t>
            </w:r>
            <w:r w:rsidR="00677DF5">
              <w:rPr>
                <w:rFonts w:ascii="Times New Roman" w:hAnsi="Times New Roman" w:cs="Times New Roman"/>
              </w:rPr>
              <w:t xml:space="preserve">  </w:t>
            </w:r>
            <w:r w:rsidRPr="008803AD">
              <w:rPr>
                <w:rFonts w:ascii="Times New Roman" w:hAnsi="Times New Roman" w:cs="Times New Roman"/>
              </w:rPr>
              <w:t xml:space="preserve">Otherwise votes with Common </w:t>
            </w:r>
            <w:r w:rsidR="000624BA">
              <w:rPr>
                <w:rFonts w:ascii="Times New Roman" w:hAnsi="Times New Roman" w:cs="Times New Roman"/>
              </w:rPr>
              <w:t xml:space="preserve">Stock </w:t>
            </w:r>
            <w:r w:rsidRPr="008803AD">
              <w:rPr>
                <w:rFonts w:ascii="Times New Roman" w:hAnsi="Times New Roman" w:cs="Times New Roman"/>
              </w:rPr>
              <w:t>on an as</w:t>
            </w:r>
            <w:r w:rsidRPr="008803AD">
              <w:rPr>
                <w:rFonts w:ascii="Times New Roman" w:hAnsi="Times New Roman" w:cs="Times New Roman"/>
              </w:rPr>
              <w:noBreakHyphen/>
              <w:t xml:space="preserve">converted basis.  </w:t>
            </w:r>
          </w:p>
        </w:tc>
      </w:tr>
      <w:tr w:rsidR="00461B0C" w14:paraId="1C0F7748" w14:textId="77777777" w:rsidTr="00294D38">
        <w:trPr>
          <w:cantSplit/>
        </w:trPr>
        <w:tc>
          <w:tcPr>
            <w:tcW w:w="2088" w:type="dxa"/>
          </w:tcPr>
          <w:p w14:paraId="3AAB613A" w14:textId="116492C7" w:rsidR="00461B0C" w:rsidRPr="008803AD" w:rsidRDefault="00461B0C" w:rsidP="00294D38">
            <w:pPr>
              <w:widowControl w:val="0"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Drag-Along</w:t>
            </w:r>
            <w:r w:rsidRPr="008803A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560" w:type="dxa"/>
          </w:tcPr>
          <w:p w14:paraId="5BBDD133" w14:textId="01A6988B" w:rsidR="00461B0C" w:rsidRPr="008803AD" w:rsidRDefault="00DD324E" w:rsidP="00294D38">
            <w:pPr>
              <w:widowControl w:val="0"/>
              <w:spacing w:after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/>
              </w:rPr>
              <w:t>Founders</w:t>
            </w:r>
            <w:r w:rsidR="00B23BD7">
              <w:rPr>
                <w:rFonts w:ascii="Times New Roman" w:eastAsia="Times New Roman" w:hAnsi="Times New Roman"/>
              </w:rPr>
              <w:t xml:space="preserve">, investors and 1% </w:t>
            </w:r>
            <w:r w:rsidR="00E133FC">
              <w:rPr>
                <w:rFonts w:ascii="Times New Roman" w:eastAsia="Times New Roman" w:hAnsi="Times New Roman"/>
              </w:rPr>
              <w:t>stock</w:t>
            </w:r>
            <w:r w:rsidR="00B23BD7">
              <w:rPr>
                <w:rFonts w:ascii="Times New Roman" w:eastAsia="Times New Roman" w:hAnsi="Times New Roman"/>
              </w:rPr>
              <w:t>holders required</w:t>
            </w:r>
            <w:r w:rsidR="00220521">
              <w:rPr>
                <w:rFonts w:ascii="Times New Roman" w:eastAsia="Times New Roman" w:hAnsi="Times New Roman"/>
              </w:rPr>
              <w:t xml:space="preserve"> to</w:t>
            </w:r>
            <w:r w:rsidR="00B23BD7">
              <w:rPr>
                <w:rFonts w:ascii="Times New Roman" w:eastAsia="Times New Roman" w:hAnsi="Times New Roman"/>
              </w:rPr>
              <w:t xml:space="preserve"> vote </w:t>
            </w:r>
            <w:r w:rsidR="00D46637">
              <w:rPr>
                <w:rFonts w:ascii="Times New Roman" w:eastAsia="Times New Roman" w:hAnsi="Times New Roman"/>
              </w:rPr>
              <w:t>for</w:t>
            </w:r>
            <w:r w:rsidR="00B23BD7">
              <w:rPr>
                <w:rFonts w:ascii="Times New Roman" w:eastAsia="Times New Roman" w:hAnsi="Times New Roman"/>
              </w:rPr>
              <w:t xml:space="preserve"> </w:t>
            </w:r>
            <w:r w:rsidR="00461B0C" w:rsidRPr="00E533C1">
              <w:rPr>
                <w:rFonts w:ascii="Times New Roman" w:eastAsia="Times New Roman" w:hAnsi="Times New Roman"/>
              </w:rPr>
              <w:t xml:space="preserve">a </w:t>
            </w:r>
            <w:r w:rsidR="00B23BD7">
              <w:rPr>
                <w:rFonts w:ascii="Times New Roman" w:eastAsia="Times New Roman" w:hAnsi="Times New Roman"/>
              </w:rPr>
              <w:t xml:space="preserve">Company </w:t>
            </w:r>
            <w:r w:rsidR="004428E4">
              <w:rPr>
                <w:rFonts w:ascii="Times New Roman" w:eastAsia="Times New Roman" w:hAnsi="Times New Roman"/>
              </w:rPr>
              <w:t>S</w:t>
            </w:r>
            <w:r w:rsidR="00B23BD7">
              <w:rPr>
                <w:rFonts w:ascii="Times New Roman" w:eastAsia="Times New Roman" w:hAnsi="Times New Roman"/>
              </w:rPr>
              <w:t>ale approved</w:t>
            </w:r>
            <w:r w:rsidR="00461B0C">
              <w:rPr>
                <w:rFonts w:ascii="Times New Roman" w:eastAsia="Times New Roman" w:hAnsi="Times New Roman"/>
              </w:rPr>
              <w:t xml:space="preserve"> by </w:t>
            </w:r>
            <w:r w:rsidR="00461B0C" w:rsidRPr="00E533C1">
              <w:rPr>
                <w:rFonts w:ascii="Times New Roman" w:eastAsia="Times New Roman" w:hAnsi="Times New Roman"/>
              </w:rPr>
              <w:t>(</w:t>
            </w:r>
            <w:proofErr w:type="spellStart"/>
            <w:r w:rsidR="00461B0C" w:rsidRPr="00E533C1">
              <w:rPr>
                <w:rFonts w:ascii="Times New Roman" w:eastAsia="Times New Roman" w:hAnsi="Times New Roman"/>
              </w:rPr>
              <w:t>i</w:t>
            </w:r>
            <w:proofErr w:type="spellEnd"/>
            <w:r w:rsidR="00461B0C" w:rsidRPr="00E533C1">
              <w:rPr>
                <w:rFonts w:ascii="Times New Roman" w:eastAsia="Times New Roman" w:hAnsi="Times New Roman"/>
              </w:rPr>
              <w:t xml:space="preserve">) the Board, (ii) </w:t>
            </w:r>
            <w:r w:rsidR="00297BB3">
              <w:rPr>
                <w:rFonts w:ascii="Times New Roman" w:eastAsia="Times New Roman" w:hAnsi="Times New Roman"/>
              </w:rPr>
              <w:t>the Preferred Majority</w:t>
            </w:r>
            <w:r w:rsidR="00461B0C">
              <w:rPr>
                <w:rFonts w:ascii="Times New Roman" w:hAnsi="Times New Roman" w:cs="Times New Roman"/>
              </w:rPr>
              <w:t xml:space="preserve"> </w:t>
            </w:r>
            <w:r w:rsidR="00461B0C" w:rsidRPr="00E533C1">
              <w:rPr>
                <w:rFonts w:ascii="Times New Roman" w:eastAsia="Times New Roman" w:hAnsi="Times New Roman"/>
              </w:rPr>
              <w:t xml:space="preserve">and (iii) a majority of Common </w:t>
            </w:r>
            <w:r w:rsidR="00461B0C">
              <w:rPr>
                <w:rFonts w:ascii="Times New Roman" w:eastAsia="Times New Roman" w:hAnsi="Times New Roman"/>
              </w:rPr>
              <w:t xml:space="preserve">Stock </w:t>
            </w:r>
            <w:r w:rsidR="00D124D9">
              <w:rPr>
                <w:rFonts w:ascii="Times New Roman" w:eastAsia="Times New Roman" w:hAnsi="Times New Roman"/>
              </w:rPr>
              <w:t>[</w:t>
            </w:r>
            <w:r w:rsidR="00461B0C">
              <w:rPr>
                <w:rFonts w:ascii="Times New Roman" w:eastAsia="Times New Roman" w:hAnsi="Times New Roman"/>
              </w:rPr>
              <w:t>(excluding shares of Common Stock issuable or issued upon conversion of the Preferred Stock)</w:t>
            </w:r>
            <w:r w:rsidR="00D124D9">
              <w:rPr>
                <w:rFonts w:ascii="Times New Roman" w:eastAsia="Times New Roman" w:hAnsi="Times New Roman"/>
              </w:rPr>
              <w:t>]</w:t>
            </w:r>
            <w:r w:rsidR="00391DDF">
              <w:rPr>
                <w:rFonts w:ascii="Times New Roman" w:eastAsia="Times New Roman" w:hAnsi="Times New Roman"/>
              </w:rPr>
              <w:t xml:space="preserve"> (the “</w:t>
            </w:r>
            <w:r w:rsidR="00391DDF">
              <w:rPr>
                <w:rFonts w:ascii="Times New Roman" w:eastAsia="Times New Roman" w:hAnsi="Times New Roman"/>
                <w:b/>
              </w:rPr>
              <w:t>Common Majority</w:t>
            </w:r>
            <w:r w:rsidR="00391DDF">
              <w:rPr>
                <w:rFonts w:ascii="Times New Roman" w:eastAsia="Times New Roman" w:hAnsi="Times New Roman"/>
              </w:rPr>
              <w:t>”)</w:t>
            </w:r>
            <w:r w:rsidR="00C23EF8">
              <w:rPr>
                <w:rFonts w:ascii="Times New Roman" w:eastAsia="Times New Roman" w:hAnsi="Times New Roman"/>
              </w:rPr>
              <w:t>, subject to standard exceptions.</w:t>
            </w:r>
          </w:p>
        </w:tc>
      </w:tr>
      <w:tr w:rsidR="00FA3503" w14:paraId="6A3878E5" w14:textId="77777777" w:rsidTr="0055753F">
        <w:trPr>
          <w:cantSplit/>
        </w:trPr>
        <w:tc>
          <w:tcPr>
            <w:tcW w:w="2088" w:type="dxa"/>
          </w:tcPr>
          <w:p w14:paraId="1E506AC1" w14:textId="36EF4FEB" w:rsidR="008803AD" w:rsidRPr="008803AD" w:rsidRDefault="00F046F3" w:rsidP="000F5DB5">
            <w:pPr>
              <w:widowControl w:val="0"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Rights</w:t>
            </w:r>
            <w:r w:rsidR="006B4E0E">
              <w:rPr>
                <w:rFonts w:ascii="Times New Roman" w:hAnsi="Times New Roman" w:cs="Times New Roman"/>
              </w:rPr>
              <w:t xml:space="preserve"> &amp; Matters</w:t>
            </w:r>
            <w:r w:rsidR="006354CC" w:rsidRPr="008803A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560" w:type="dxa"/>
          </w:tcPr>
          <w:p w14:paraId="0E1C2EB4" w14:textId="055A64A9" w:rsidR="008803AD" w:rsidRPr="008803AD" w:rsidRDefault="00C23EF8" w:rsidP="006419CE">
            <w:pPr>
              <w:widowControl w:val="0"/>
              <w:spacing w:after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Preferred Stock will have standard broad-based weighted average anti-dilution ri</w:t>
            </w:r>
            <w:r w:rsidR="002D3515">
              <w:rPr>
                <w:rFonts w:ascii="Times New Roman" w:hAnsi="Times New Roman" w:cs="Times New Roman"/>
              </w:rPr>
              <w:t xml:space="preserve">ghts, </w:t>
            </w:r>
            <w:r w:rsidR="00E71B6D">
              <w:rPr>
                <w:rFonts w:ascii="Times New Roman" w:hAnsi="Times New Roman" w:cs="Times New Roman"/>
              </w:rPr>
              <w:t>first refusal and co-sale rights over founder stock transfers, registration rights, pro rata rights and information rights.</w:t>
            </w:r>
            <w:r w:rsidR="006B4E0E">
              <w:rPr>
                <w:rFonts w:ascii="Times New Roman" w:hAnsi="Times New Roman" w:cs="Times New Roman"/>
              </w:rPr>
              <w:t xml:space="preserve"> Company counsel drafts documents.  Company pays Lead Investor’s legal fees, capped at $30,000.</w:t>
            </w:r>
          </w:p>
        </w:tc>
      </w:tr>
      <w:tr w:rsidR="00FA3503" w14:paraId="28136303" w14:textId="77777777" w:rsidTr="0055753F">
        <w:trPr>
          <w:cantSplit/>
        </w:trPr>
        <w:tc>
          <w:tcPr>
            <w:tcW w:w="2088" w:type="dxa"/>
          </w:tcPr>
          <w:p w14:paraId="527F5B05" w14:textId="048AE93F" w:rsidR="008803AD" w:rsidRPr="008803AD" w:rsidRDefault="006354CC" w:rsidP="000F5DB5">
            <w:pPr>
              <w:widowControl w:val="0"/>
              <w:spacing w:after="240"/>
              <w:rPr>
                <w:rFonts w:ascii="Times New Roman" w:hAnsi="Times New Roman" w:cs="Times New Roman"/>
              </w:rPr>
            </w:pPr>
            <w:r w:rsidRPr="008803AD">
              <w:rPr>
                <w:rFonts w:ascii="Times New Roman" w:hAnsi="Times New Roman" w:cs="Times New Roman"/>
              </w:rPr>
              <w:t>Board:</w:t>
            </w:r>
          </w:p>
        </w:tc>
        <w:tc>
          <w:tcPr>
            <w:tcW w:w="7560" w:type="dxa"/>
          </w:tcPr>
          <w:p w14:paraId="7AD3BD55" w14:textId="5B333A62" w:rsidR="008803AD" w:rsidRPr="008803AD" w:rsidRDefault="00BD153B" w:rsidP="00164AF9">
            <w:pPr>
              <w:widowControl w:val="0"/>
              <w:spacing w:after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="00BD3CFD">
              <w:rPr>
                <w:rFonts w:ascii="Times New Roman" w:hAnsi="Times New Roman" w:cs="Times New Roman"/>
              </w:rPr>
              <w:t>Lead Investor</w:t>
            </w:r>
            <w:r w:rsidR="00490F07">
              <w:rPr>
                <w:rFonts w:ascii="Times New Roman" w:hAnsi="Times New Roman" w:cs="Times New Roman"/>
              </w:rPr>
              <w:t xml:space="preserve"> designates 1 director</w:t>
            </w:r>
            <w:r w:rsidR="000624BA">
              <w:rPr>
                <w:rFonts w:ascii="Times New Roman" w:hAnsi="Times New Roman" w:cs="Times New Roman"/>
              </w:rPr>
              <w:t xml:space="preserve">.  </w:t>
            </w:r>
            <w:r w:rsidR="00490F07">
              <w:rPr>
                <w:rFonts w:ascii="Times New Roman" w:hAnsi="Times New Roman" w:cs="Times New Roman"/>
              </w:rPr>
              <w:t>Common Majority designates 2 directors.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FA3503" w14:paraId="780BCFC6" w14:textId="77777777" w:rsidTr="0055753F">
        <w:trPr>
          <w:cantSplit/>
        </w:trPr>
        <w:tc>
          <w:tcPr>
            <w:tcW w:w="2088" w:type="dxa"/>
          </w:tcPr>
          <w:p w14:paraId="62333B1E" w14:textId="1702BCB3" w:rsidR="008803AD" w:rsidRPr="008803AD" w:rsidRDefault="00E54340" w:rsidP="000F5DB5">
            <w:pPr>
              <w:widowControl w:val="0"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Founder and Employee Vesting</w:t>
            </w:r>
            <w:r w:rsidR="006354C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560" w:type="dxa"/>
          </w:tcPr>
          <w:p w14:paraId="626FDA05" w14:textId="268937B7" w:rsidR="008803AD" w:rsidRPr="008803AD" w:rsidRDefault="006C6220" w:rsidP="00004370">
            <w:pPr>
              <w:widowControl w:val="0"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Founder</w:t>
            </w:r>
            <w:r w:rsidR="00004370">
              <w:rPr>
                <w:rFonts w:ascii="Times New Roman" w:hAnsi="Times New Roman" w:cs="Times New Roman"/>
              </w:rPr>
              <w:t xml:space="preserve">s: </w:t>
            </w:r>
            <w:r w:rsidR="005C7639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</w:rPr>
              <w:t>_______________</w:t>
            </w:r>
            <w:r w:rsidR="005C7639"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</w:rPr>
              <w:t>.</w:t>
            </w:r>
            <w:r w:rsidR="00280467">
              <w:rPr>
                <w:rFonts w:ascii="Times New Roman" w:hAnsi="Times New Roman" w:cs="Times New Roman"/>
              </w:rPr>
              <w:br/>
              <w:t>Employees: 4-year monthly vesting with 1</w:t>
            </w:r>
            <w:r w:rsidR="0054573D">
              <w:rPr>
                <w:rFonts w:ascii="Times New Roman" w:hAnsi="Times New Roman" w:cs="Times New Roman"/>
              </w:rPr>
              <w:t>-</w:t>
            </w:r>
            <w:r w:rsidR="00280467">
              <w:rPr>
                <w:rFonts w:ascii="Times New Roman" w:hAnsi="Times New Roman" w:cs="Times New Roman"/>
              </w:rPr>
              <w:t xml:space="preserve">year cliff.  </w:t>
            </w:r>
          </w:p>
        </w:tc>
      </w:tr>
      <w:tr w:rsidR="00FA3503" w14:paraId="3D8F73C2" w14:textId="77777777" w:rsidTr="0055753F">
        <w:trPr>
          <w:cantSplit/>
        </w:trPr>
        <w:tc>
          <w:tcPr>
            <w:tcW w:w="2088" w:type="dxa"/>
          </w:tcPr>
          <w:p w14:paraId="1EFF13CC" w14:textId="1747E134" w:rsidR="008803AD" w:rsidRPr="008803AD" w:rsidRDefault="001C2A19" w:rsidP="000F5DB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Shop</w:t>
            </w:r>
            <w:r w:rsidR="006354CC" w:rsidRPr="008803A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560" w:type="dxa"/>
          </w:tcPr>
          <w:p w14:paraId="3AA741AE" w14:textId="37BE11EA" w:rsidR="008803AD" w:rsidRPr="006B4E0E" w:rsidRDefault="006B4E0E" w:rsidP="001C27D8">
            <w:pPr>
              <w:spacing w:after="24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For 30 days, t</w:t>
            </w:r>
            <w:r w:rsidR="004934EB">
              <w:rPr>
                <w:rFonts w:ascii="Times New Roman" w:hAnsi="Times New Roman" w:cs="Times New Roman"/>
                <w:bCs/>
              </w:rPr>
              <w:t>he Company will not solicit</w:t>
            </w:r>
            <w:r w:rsidR="008D07B8">
              <w:rPr>
                <w:rFonts w:ascii="Times New Roman" w:hAnsi="Times New Roman" w:cs="Times New Roman"/>
                <w:bCs/>
              </w:rPr>
              <w:t xml:space="preserve">, </w:t>
            </w:r>
            <w:r w:rsidR="004934EB">
              <w:rPr>
                <w:rFonts w:ascii="Times New Roman" w:hAnsi="Times New Roman" w:cs="Times New Roman"/>
                <w:bCs/>
              </w:rPr>
              <w:t>encourage or accept any offers for the acquisition of Company capital stock</w:t>
            </w:r>
            <w:r w:rsidR="00174296">
              <w:rPr>
                <w:rFonts w:ascii="Times New Roman" w:hAnsi="Times New Roman" w:cs="Times New Roman"/>
                <w:bCs/>
              </w:rPr>
              <w:t xml:space="preserve"> (other than equity compensation for service providers)</w:t>
            </w:r>
            <w:r w:rsidR="004934EB">
              <w:rPr>
                <w:rFonts w:ascii="Times New Roman" w:hAnsi="Times New Roman" w:cs="Times New Roman"/>
                <w:bCs/>
              </w:rPr>
              <w:t xml:space="preserve">, </w:t>
            </w:r>
            <w:r>
              <w:rPr>
                <w:rFonts w:ascii="Times New Roman" w:hAnsi="Times New Roman" w:cs="Times New Roman"/>
                <w:bCs/>
              </w:rPr>
              <w:t>or of all or any substantial portion of Company assets.</w:t>
            </w:r>
          </w:p>
        </w:tc>
      </w:tr>
    </w:tbl>
    <w:p w14:paraId="1DD3AB49" w14:textId="77777777" w:rsidR="00496FFF" w:rsidRDefault="00EF3BEA" w:rsidP="000F5DB5">
      <w:pPr>
        <w:spacing w:after="240"/>
        <w:rPr>
          <w:rFonts w:ascii="Times New Roman" w:hAnsi="Times New Roman" w:cs="Times New Roman"/>
        </w:rPr>
        <w:sectPr w:rsidR="00496FFF" w:rsidSect="00B204FF">
          <w:headerReference w:type="default" r:id="rId7"/>
          <w:footerReference w:type="default" r:id="rId8"/>
          <w:pgSz w:w="12240" w:h="15840"/>
          <w:pgMar w:top="1152" w:right="1440" w:bottom="1152" w:left="1440" w:header="720" w:footer="720" w:gutter="0"/>
          <w:cols w:space="720"/>
          <w:docGrid w:linePitch="360"/>
        </w:sectPr>
      </w:pPr>
    </w:p>
    <w:tbl>
      <w:tblPr>
        <w:tblW w:w="9360" w:type="dxa"/>
        <w:tblLayout w:type="fixed"/>
        <w:tblLook w:val="01E0" w:firstRow="1" w:lastRow="1" w:firstColumn="1" w:lastColumn="1" w:noHBand="0" w:noVBand="0"/>
      </w:tblPr>
      <w:tblGrid>
        <w:gridCol w:w="4027"/>
        <w:gridCol w:w="598"/>
        <w:gridCol w:w="854"/>
        <w:gridCol w:w="3881"/>
      </w:tblGrid>
      <w:tr w:rsidR="00102040" w:rsidRPr="00EE19AE" w14:paraId="155E8C99" w14:textId="77777777" w:rsidTr="00E457C2">
        <w:tc>
          <w:tcPr>
            <w:tcW w:w="9360" w:type="dxa"/>
            <w:gridSpan w:val="4"/>
          </w:tcPr>
          <w:p w14:paraId="13DD302A" w14:textId="4F54427A" w:rsidR="00102040" w:rsidRPr="00EE19AE" w:rsidRDefault="00102040" w:rsidP="0013093E">
            <w:pPr>
              <w:pStyle w:val="SignatureLine"/>
              <w:widowControl w:val="0"/>
              <w:spacing w:before="0"/>
              <w:ind w:left="0"/>
              <w:rPr>
                <w:sz w:val="22"/>
                <w:szCs w:val="22"/>
              </w:rPr>
            </w:pPr>
            <w:r w:rsidRPr="00EE19AE">
              <w:rPr>
                <w:color w:val="000000"/>
                <w:sz w:val="22"/>
                <w:szCs w:val="22"/>
              </w:rPr>
              <w:lastRenderedPageBreak/>
              <w:t xml:space="preserve">The “No Shop” is legally binding between the parties.  Everything else in this term sheet is non-binding and only intended to be a summary of the </w:t>
            </w:r>
            <w:r w:rsidR="000768D7">
              <w:rPr>
                <w:color w:val="000000"/>
                <w:sz w:val="22"/>
                <w:szCs w:val="22"/>
              </w:rPr>
              <w:t xml:space="preserve">proposed </w:t>
            </w:r>
            <w:r w:rsidRPr="00EE19AE">
              <w:rPr>
                <w:color w:val="000000"/>
                <w:sz w:val="22"/>
                <w:szCs w:val="22"/>
              </w:rPr>
              <w:t xml:space="preserve">terms of this </w:t>
            </w:r>
            <w:r w:rsidR="00562AFD" w:rsidRPr="00EE19AE">
              <w:rPr>
                <w:color w:val="000000"/>
                <w:sz w:val="22"/>
                <w:szCs w:val="22"/>
              </w:rPr>
              <w:t>financing</w:t>
            </w:r>
            <w:r w:rsidRPr="00EE19AE">
              <w:rPr>
                <w:sz w:val="22"/>
                <w:szCs w:val="22"/>
              </w:rPr>
              <w:t>.</w:t>
            </w:r>
          </w:p>
          <w:p w14:paraId="16B3C686" w14:textId="77777777" w:rsidR="00314303" w:rsidRPr="00EE19AE" w:rsidRDefault="00314303" w:rsidP="0013093E">
            <w:pPr>
              <w:pStyle w:val="SignatureLine"/>
              <w:widowControl w:val="0"/>
              <w:spacing w:before="0"/>
              <w:ind w:left="0"/>
              <w:rPr>
                <w:sz w:val="22"/>
                <w:szCs w:val="22"/>
              </w:rPr>
            </w:pPr>
          </w:p>
          <w:p w14:paraId="4E5B0869" w14:textId="74D7BF92" w:rsidR="00102040" w:rsidRPr="00EE19AE" w:rsidRDefault="00102040" w:rsidP="0013093E">
            <w:pPr>
              <w:pStyle w:val="SignatureLine"/>
              <w:widowControl w:val="0"/>
              <w:spacing w:before="0"/>
              <w:ind w:left="0"/>
              <w:rPr>
                <w:b/>
                <w:sz w:val="22"/>
                <w:szCs w:val="22"/>
              </w:rPr>
            </w:pPr>
          </w:p>
        </w:tc>
      </w:tr>
      <w:tr w:rsidR="00FA3503" w:rsidRPr="00EE19AE" w14:paraId="7D3E6073" w14:textId="77777777" w:rsidTr="00ED6172">
        <w:tc>
          <w:tcPr>
            <w:tcW w:w="4027" w:type="dxa"/>
          </w:tcPr>
          <w:p w14:paraId="6DF21AA5" w14:textId="77777777" w:rsidR="001A5E26" w:rsidRPr="00EE19AE" w:rsidRDefault="00EF3BEA" w:rsidP="0013093E">
            <w:pPr>
              <w:pStyle w:val="SignatureLine"/>
              <w:widowControl w:val="0"/>
              <w:spacing w:before="0"/>
              <w:ind w:left="0"/>
              <w:jc w:val="right"/>
              <w:rPr>
                <w:b/>
                <w:sz w:val="22"/>
                <w:szCs w:val="22"/>
              </w:rPr>
            </w:pPr>
          </w:p>
          <w:p w14:paraId="7BF51330" w14:textId="77777777" w:rsidR="001A5E26" w:rsidRPr="00EE19AE" w:rsidRDefault="00EF3BEA" w:rsidP="0013093E">
            <w:pPr>
              <w:pStyle w:val="SignatureLine"/>
              <w:widowControl w:val="0"/>
              <w:spacing w:before="0"/>
              <w:ind w:left="0"/>
              <w:jc w:val="right"/>
              <w:rPr>
                <w:b/>
                <w:sz w:val="22"/>
                <w:szCs w:val="22"/>
              </w:rPr>
            </w:pPr>
          </w:p>
          <w:p w14:paraId="03EE2455" w14:textId="569972FA" w:rsidR="008803AD" w:rsidRPr="00EE19AE" w:rsidRDefault="006354CC" w:rsidP="0013093E">
            <w:pPr>
              <w:pStyle w:val="SignatureLine"/>
              <w:widowControl w:val="0"/>
              <w:spacing w:before="0"/>
              <w:ind w:left="0"/>
              <w:jc w:val="right"/>
              <w:rPr>
                <w:b/>
                <w:sz w:val="22"/>
                <w:szCs w:val="22"/>
              </w:rPr>
            </w:pPr>
            <w:r w:rsidRPr="00EE19AE">
              <w:rPr>
                <w:b/>
                <w:sz w:val="22"/>
                <w:szCs w:val="22"/>
              </w:rPr>
              <w:t xml:space="preserve">  </w:t>
            </w:r>
          </w:p>
        </w:tc>
        <w:tc>
          <w:tcPr>
            <w:tcW w:w="5333" w:type="dxa"/>
            <w:gridSpan w:val="3"/>
          </w:tcPr>
          <w:p w14:paraId="61F48926" w14:textId="38FDA5A9" w:rsidR="008803AD" w:rsidRPr="00EE19AE" w:rsidRDefault="00822055" w:rsidP="0013093E">
            <w:pPr>
              <w:pStyle w:val="SignatureLine"/>
              <w:widowControl w:val="0"/>
              <w:spacing w:before="0"/>
              <w:ind w:left="0"/>
              <w:rPr>
                <w:sz w:val="22"/>
                <w:szCs w:val="22"/>
              </w:rPr>
            </w:pPr>
            <w:r w:rsidRPr="00EE19AE">
              <w:rPr>
                <w:b/>
                <w:sz w:val="22"/>
                <w:szCs w:val="22"/>
              </w:rPr>
              <w:t>[COMPANY]</w:t>
            </w:r>
          </w:p>
        </w:tc>
      </w:tr>
      <w:tr w:rsidR="00FA3503" w:rsidRPr="00EE19AE" w14:paraId="21B28FD0" w14:textId="77777777" w:rsidTr="00ED6172">
        <w:tc>
          <w:tcPr>
            <w:tcW w:w="4027" w:type="dxa"/>
          </w:tcPr>
          <w:p w14:paraId="40C17FB3" w14:textId="77777777" w:rsidR="008803AD" w:rsidRPr="00EE19AE" w:rsidRDefault="00EF3BEA" w:rsidP="000F5DB5">
            <w:pPr>
              <w:pStyle w:val="SignatureLine"/>
              <w:widowControl w:val="0"/>
              <w:spacing w:before="0"/>
              <w:ind w:left="0"/>
              <w:rPr>
                <w:sz w:val="22"/>
                <w:szCs w:val="22"/>
              </w:rPr>
            </w:pPr>
          </w:p>
        </w:tc>
        <w:tc>
          <w:tcPr>
            <w:tcW w:w="598" w:type="dxa"/>
            <w:shd w:val="clear" w:color="auto" w:fill="auto"/>
          </w:tcPr>
          <w:p w14:paraId="5A4CBB8F" w14:textId="77777777" w:rsidR="008803AD" w:rsidRPr="00EE19AE" w:rsidRDefault="006354CC" w:rsidP="000F5DB5">
            <w:pPr>
              <w:pStyle w:val="SignatureLine"/>
              <w:widowControl w:val="0"/>
              <w:spacing w:before="0"/>
              <w:ind w:left="0"/>
              <w:jc w:val="both"/>
              <w:rPr>
                <w:sz w:val="22"/>
                <w:szCs w:val="22"/>
              </w:rPr>
            </w:pPr>
            <w:r w:rsidRPr="00EE19AE">
              <w:rPr>
                <w:sz w:val="22"/>
                <w:szCs w:val="22"/>
              </w:rPr>
              <w:t>By:</w:t>
            </w:r>
          </w:p>
        </w:tc>
        <w:tc>
          <w:tcPr>
            <w:tcW w:w="473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CC44C5E" w14:textId="77777777" w:rsidR="008803AD" w:rsidRPr="00EE19AE" w:rsidRDefault="00EF3BEA" w:rsidP="000F5DB5">
            <w:pPr>
              <w:pStyle w:val="SignatureLine"/>
              <w:widowControl w:val="0"/>
              <w:spacing w:before="0"/>
              <w:ind w:left="0"/>
              <w:jc w:val="both"/>
              <w:rPr>
                <w:sz w:val="22"/>
                <w:szCs w:val="22"/>
              </w:rPr>
            </w:pPr>
          </w:p>
        </w:tc>
      </w:tr>
      <w:tr w:rsidR="00FA3503" w:rsidRPr="00EE19AE" w14:paraId="01964B25" w14:textId="77777777" w:rsidTr="00ED6172">
        <w:tc>
          <w:tcPr>
            <w:tcW w:w="4027" w:type="dxa"/>
          </w:tcPr>
          <w:p w14:paraId="5A43D3FC" w14:textId="77777777" w:rsidR="008803AD" w:rsidRPr="00EE19AE" w:rsidRDefault="00EF3BEA" w:rsidP="000F5DB5">
            <w:pPr>
              <w:pStyle w:val="SignatureLine"/>
              <w:widowControl w:val="0"/>
              <w:spacing w:before="0"/>
              <w:ind w:left="0"/>
              <w:rPr>
                <w:sz w:val="22"/>
                <w:szCs w:val="22"/>
              </w:rPr>
            </w:pPr>
          </w:p>
        </w:tc>
        <w:tc>
          <w:tcPr>
            <w:tcW w:w="598" w:type="dxa"/>
            <w:shd w:val="clear" w:color="auto" w:fill="auto"/>
          </w:tcPr>
          <w:p w14:paraId="772857F0" w14:textId="77777777" w:rsidR="008803AD" w:rsidRPr="00EE19AE" w:rsidRDefault="00EF3BEA" w:rsidP="000F5DB5">
            <w:pPr>
              <w:pStyle w:val="SignatureLine"/>
              <w:widowControl w:val="0"/>
              <w:spacing w:before="0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473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1C299E2" w14:textId="77777777" w:rsidR="008803AD" w:rsidRPr="00EE19AE" w:rsidRDefault="00EF3BEA" w:rsidP="000F5DB5">
            <w:pPr>
              <w:pStyle w:val="SignatureLine"/>
              <w:widowControl w:val="0"/>
              <w:spacing w:before="0"/>
              <w:ind w:left="0"/>
              <w:jc w:val="both"/>
              <w:rPr>
                <w:sz w:val="22"/>
                <w:szCs w:val="22"/>
              </w:rPr>
            </w:pPr>
          </w:p>
        </w:tc>
      </w:tr>
      <w:tr w:rsidR="00FA3503" w:rsidRPr="00EE19AE" w14:paraId="2DDC036B" w14:textId="77777777" w:rsidTr="00ED6172">
        <w:tc>
          <w:tcPr>
            <w:tcW w:w="4027" w:type="dxa"/>
          </w:tcPr>
          <w:p w14:paraId="7DCD8E53" w14:textId="77777777" w:rsidR="008803AD" w:rsidRPr="00EE19AE" w:rsidRDefault="00EF3BEA" w:rsidP="000F5DB5">
            <w:pPr>
              <w:pStyle w:val="SignatureLine"/>
              <w:widowControl w:val="0"/>
              <w:spacing w:before="0"/>
              <w:ind w:left="0"/>
              <w:rPr>
                <w:sz w:val="22"/>
                <w:szCs w:val="22"/>
              </w:rPr>
            </w:pPr>
          </w:p>
        </w:tc>
        <w:tc>
          <w:tcPr>
            <w:tcW w:w="598" w:type="dxa"/>
            <w:shd w:val="clear" w:color="auto" w:fill="auto"/>
          </w:tcPr>
          <w:p w14:paraId="51D9F5B9" w14:textId="77777777" w:rsidR="008803AD" w:rsidRPr="00EE19AE" w:rsidRDefault="00EF3BEA" w:rsidP="000F5DB5">
            <w:pPr>
              <w:pStyle w:val="SignatureLine"/>
              <w:widowControl w:val="0"/>
              <w:spacing w:before="0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854" w:type="dxa"/>
            <w:shd w:val="clear" w:color="auto" w:fill="auto"/>
          </w:tcPr>
          <w:p w14:paraId="31B48B0E" w14:textId="77777777" w:rsidR="008803AD" w:rsidRPr="00EE19AE" w:rsidRDefault="006354CC" w:rsidP="000F5DB5">
            <w:pPr>
              <w:pStyle w:val="SignatureLine"/>
              <w:widowControl w:val="0"/>
              <w:spacing w:before="0"/>
              <w:ind w:left="0"/>
              <w:jc w:val="both"/>
              <w:rPr>
                <w:sz w:val="22"/>
                <w:szCs w:val="22"/>
              </w:rPr>
            </w:pPr>
            <w:r w:rsidRPr="00EE19AE">
              <w:rPr>
                <w:sz w:val="22"/>
                <w:szCs w:val="22"/>
              </w:rPr>
              <w:t>Name:</w:t>
            </w:r>
          </w:p>
        </w:tc>
        <w:tc>
          <w:tcPr>
            <w:tcW w:w="3881" w:type="dxa"/>
            <w:tcBorders>
              <w:bottom w:val="single" w:sz="4" w:space="0" w:color="auto"/>
            </w:tcBorders>
            <w:shd w:val="clear" w:color="auto" w:fill="auto"/>
          </w:tcPr>
          <w:p w14:paraId="7647718C" w14:textId="3EE38703" w:rsidR="008803AD" w:rsidRPr="00EE19AE" w:rsidRDefault="00EF3BEA" w:rsidP="000F5DB5">
            <w:pPr>
              <w:pStyle w:val="SignatureLine"/>
              <w:widowControl w:val="0"/>
              <w:spacing w:before="0"/>
              <w:ind w:left="0"/>
              <w:jc w:val="both"/>
              <w:rPr>
                <w:sz w:val="22"/>
                <w:szCs w:val="22"/>
              </w:rPr>
            </w:pPr>
          </w:p>
        </w:tc>
      </w:tr>
      <w:tr w:rsidR="00FA3503" w:rsidRPr="00EE19AE" w14:paraId="568C8B23" w14:textId="77777777" w:rsidTr="00ED6172">
        <w:tc>
          <w:tcPr>
            <w:tcW w:w="4027" w:type="dxa"/>
          </w:tcPr>
          <w:p w14:paraId="6C7BE793" w14:textId="77777777" w:rsidR="008803AD" w:rsidRPr="00EE19AE" w:rsidRDefault="00EF3BEA" w:rsidP="000F5DB5">
            <w:pPr>
              <w:pStyle w:val="SignatureLine"/>
              <w:widowControl w:val="0"/>
              <w:spacing w:before="0"/>
              <w:ind w:left="0"/>
              <w:rPr>
                <w:sz w:val="22"/>
                <w:szCs w:val="22"/>
              </w:rPr>
            </w:pPr>
          </w:p>
        </w:tc>
        <w:tc>
          <w:tcPr>
            <w:tcW w:w="598" w:type="dxa"/>
            <w:shd w:val="clear" w:color="auto" w:fill="auto"/>
          </w:tcPr>
          <w:p w14:paraId="686FEC15" w14:textId="77777777" w:rsidR="008803AD" w:rsidRPr="00EE19AE" w:rsidRDefault="00EF3BEA" w:rsidP="000F5DB5">
            <w:pPr>
              <w:pStyle w:val="SignatureLine"/>
              <w:widowControl w:val="0"/>
              <w:spacing w:before="0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854" w:type="dxa"/>
            <w:shd w:val="clear" w:color="auto" w:fill="auto"/>
          </w:tcPr>
          <w:p w14:paraId="28C0E13C" w14:textId="77777777" w:rsidR="00D65517" w:rsidRPr="00EE19AE" w:rsidRDefault="00EF3BEA" w:rsidP="000F5DB5">
            <w:pPr>
              <w:pStyle w:val="SignatureLine"/>
              <w:widowControl w:val="0"/>
              <w:spacing w:before="0"/>
              <w:ind w:left="0"/>
              <w:jc w:val="both"/>
              <w:rPr>
                <w:sz w:val="22"/>
                <w:szCs w:val="22"/>
              </w:rPr>
            </w:pPr>
          </w:p>
          <w:p w14:paraId="0A8D7B17" w14:textId="77777777" w:rsidR="008803AD" w:rsidRPr="00EE19AE" w:rsidRDefault="006354CC" w:rsidP="000F5DB5">
            <w:pPr>
              <w:pStyle w:val="SignatureLine"/>
              <w:widowControl w:val="0"/>
              <w:spacing w:before="0"/>
              <w:ind w:left="0"/>
              <w:jc w:val="both"/>
              <w:rPr>
                <w:sz w:val="22"/>
                <w:szCs w:val="22"/>
              </w:rPr>
            </w:pPr>
            <w:r w:rsidRPr="00EE19AE">
              <w:rPr>
                <w:sz w:val="22"/>
                <w:szCs w:val="22"/>
              </w:rPr>
              <w:t>Title:</w:t>
            </w:r>
          </w:p>
        </w:tc>
        <w:tc>
          <w:tcPr>
            <w:tcW w:w="38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0B7CEFC" w14:textId="39BF5648" w:rsidR="008803AD" w:rsidRPr="00EE19AE" w:rsidRDefault="00EF3BEA" w:rsidP="000F5DB5">
            <w:pPr>
              <w:pStyle w:val="SignatureLine"/>
              <w:widowControl w:val="0"/>
              <w:spacing w:before="0"/>
              <w:ind w:left="0"/>
              <w:jc w:val="both"/>
              <w:rPr>
                <w:sz w:val="22"/>
                <w:szCs w:val="22"/>
              </w:rPr>
            </w:pPr>
          </w:p>
        </w:tc>
      </w:tr>
      <w:tr w:rsidR="00FA3503" w:rsidRPr="00EE19AE" w14:paraId="7C6BADE0" w14:textId="77777777" w:rsidTr="00ED6172">
        <w:tc>
          <w:tcPr>
            <w:tcW w:w="4027" w:type="dxa"/>
          </w:tcPr>
          <w:p w14:paraId="68C2A5A3" w14:textId="77777777" w:rsidR="008803AD" w:rsidRPr="00EE19AE" w:rsidRDefault="00EF3BEA" w:rsidP="000F5DB5">
            <w:pPr>
              <w:pStyle w:val="SignatureLine"/>
              <w:widowControl w:val="0"/>
              <w:spacing w:before="0"/>
              <w:ind w:left="0"/>
              <w:rPr>
                <w:sz w:val="22"/>
                <w:szCs w:val="22"/>
              </w:rPr>
            </w:pPr>
          </w:p>
        </w:tc>
        <w:tc>
          <w:tcPr>
            <w:tcW w:w="598" w:type="dxa"/>
            <w:shd w:val="clear" w:color="auto" w:fill="auto"/>
          </w:tcPr>
          <w:p w14:paraId="0E595BF3" w14:textId="77777777" w:rsidR="008803AD" w:rsidRPr="00EE19AE" w:rsidRDefault="00EF3BEA" w:rsidP="000F5DB5">
            <w:pPr>
              <w:pStyle w:val="SignatureLine"/>
              <w:widowControl w:val="0"/>
              <w:spacing w:before="0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854" w:type="dxa"/>
            <w:shd w:val="clear" w:color="auto" w:fill="auto"/>
          </w:tcPr>
          <w:p w14:paraId="152924D0" w14:textId="77777777" w:rsidR="00D65517" w:rsidRPr="00EE19AE" w:rsidRDefault="00EF3BEA" w:rsidP="000F5DB5">
            <w:pPr>
              <w:pStyle w:val="SignatureLine"/>
              <w:widowControl w:val="0"/>
              <w:spacing w:before="0"/>
              <w:ind w:left="0"/>
              <w:jc w:val="both"/>
              <w:rPr>
                <w:sz w:val="22"/>
                <w:szCs w:val="22"/>
              </w:rPr>
            </w:pPr>
          </w:p>
          <w:p w14:paraId="6676077E" w14:textId="77777777" w:rsidR="008803AD" w:rsidRPr="00EE19AE" w:rsidRDefault="006354CC" w:rsidP="000F5DB5">
            <w:pPr>
              <w:pStyle w:val="SignatureLine"/>
              <w:widowControl w:val="0"/>
              <w:spacing w:before="0"/>
              <w:ind w:left="0"/>
              <w:jc w:val="both"/>
              <w:rPr>
                <w:sz w:val="22"/>
                <w:szCs w:val="22"/>
              </w:rPr>
            </w:pPr>
            <w:r w:rsidRPr="00EE19AE">
              <w:rPr>
                <w:sz w:val="22"/>
                <w:szCs w:val="22"/>
              </w:rPr>
              <w:t>Date:</w:t>
            </w:r>
          </w:p>
        </w:tc>
        <w:tc>
          <w:tcPr>
            <w:tcW w:w="38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0A54FF" w14:textId="77777777" w:rsidR="008803AD" w:rsidRPr="00EE19AE" w:rsidRDefault="00EF3BEA" w:rsidP="000F5DB5">
            <w:pPr>
              <w:pStyle w:val="SignatureLine"/>
              <w:widowControl w:val="0"/>
              <w:spacing w:before="0"/>
              <w:ind w:left="0"/>
              <w:jc w:val="both"/>
              <w:rPr>
                <w:sz w:val="22"/>
                <w:szCs w:val="22"/>
              </w:rPr>
            </w:pPr>
          </w:p>
        </w:tc>
      </w:tr>
      <w:tr w:rsidR="00FA3503" w:rsidRPr="00EE19AE" w14:paraId="46E58697" w14:textId="77777777" w:rsidTr="00ED6172">
        <w:tc>
          <w:tcPr>
            <w:tcW w:w="4027" w:type="dxa"/>
          </w:tcPr>
          <w:p w14:paraId="49FA5227" w14:textId="77777777" w:rsidR="008803AD" w:rsidRPr="00EE19AE" w:rsidRDefault="00EF3BEA" w:rsidP="000F5DB5">
            <w:pPr>
              <w:pStyle w:val="SignatureLine"/>
              <w:widowControl w:val="0"/>
              <w:spacing w:before="0"/>
              <w:ind w:left="10800" w:hanging="10800"/>
              <w:rPr>
                <w:sz w:val="22"/>
                <w:szCs w:val="22"/>
              </w:rPr>
            </w:pPr>
          </w:p>
        </w:tc>
        <w:tc>
          <w:tcPr>
            <w:tcW w:w="5333" w:type="dxa"/>
            <w:gridSpan w:val="3"/>
          </w:tcPr>
          <w:p w14:paraId="232E6BAD" w14:textId="77777777" w:rsidR="008803AD" w:rsidRPr="00EE19AE" w:rsidRDefault="00EF3BEA" w:rsidP="000F5DB5">
            <w:pPr>
              <w:pStyle w:val="SignatureLine"/>
              <w:widowControl w:val="0"/>
              <w:spacing w:before="0"/>
              <w:ind w:left="10800" w:hanging="10800"/>
              <w:jc w:val="both"/>
              <w:rPr>
                <w:sz w:val="22"/>
                <w:szCs w:val="22"/>
              </w:rPr>
            </w:pPr>
          </w:p>
        </w:tc>
      </w:tr>
      <w:tr w:rsidR="00FA3503" w:rsidRPr="00EE19AE" w14:paraId="1974F40B" w14:textId="77777777" w:rsidTr="00ED6172">
        <w:tc>
          <w:tcPr>
            <w:tcW w:w="4027" w:type="dxa"/>
          </w:tcPr>
          <w:p w14:paraId="6E693847" w14:textId="77777777" w:rsidR="008803AD" w:rsidRPr="00EE19AE" w:rsidRDefault="00EF3BEA" w:rsidP="000F5DB5">
            <w:pPr>
              <w:pStyle w:val="SignatureLine"/>
              <w:widowControl w:val="0"/>
              <w:spacing w:before="0"/>
              <w:ind w:left="10800" w:hanging="10800"/>
              <w:rPr>
                <w:sz w:val="22"/>
                <w:szCs w:val="22"/>
              </w:rPr>
            </w:pPr>
          </w:p>
        </w:tc>
        <w:tc>
          <w:tcPr>
            <w:tcW w:w="5333" w:type="dxa"/>
            <w:gridSpan w:val="3"/>
          </w:tcPr>
          <w:p w14:paraId="55A0EB6F" w14:textId="77777777" w:rsidR="008803AD" w:rsidRPr="00EE19AE" w:rsidRDefault="00EF3BEA" w:rsidP="000F5DB5">
            <w:pPr>
              <w:pStyle w:val="SignatureLine"/>
              <w:widowControl w:val="0"/>
              <w:spacing w:before="0"/>
              <w:ind w:left="10800" w:hanging="10800"/>
              <w:jc w:val="both"/>
              <w:rPr>
                <w:sz w:val="22"/>
                <w:szCs w:val="22"/>
              </w:rPr>
            </w:pPr>
          </w:p>
        </w:tc>
      </w:tr>
      <w:tr w:rsidR="0013093E" w:rsidRPr="00EE19AE" w14:paraId="639A25DE" w14:textId="77777777" w:rsidTr="00ED6172">
        <w:tc>
          <w:tcPr>
            <w:tcW w:w="4027" w:type="dxa"/>
          </w:tcPr>
          <w:p w14:paraId="175CFF99" w14:textId="77777777" w:rsidR="0013093E" w:rsidRPr="00EE19AE" w:rsidRDefault="0013093E" w:rsidP="0013093E">
            <w:pPr>
              <w:pStyle w:val="SignatureLine"/>
              <w:widowControl w:val="0"/>
              <w:spacing w:before="0"/>
              <w:ind w:left="10800" w:hanging="10800"/>
              <w:rPr>
                <w:sz w:val="22"/>
                <w:szCs w:val="22"/>
              </w:rPr>
            </w:pPr>
          </w:p>
          <w:p w14:paraId="65C6434E" w14:textId="77777777" w:rsidR="0013093E" w:rsidRPr="00EE19AE" w:rsidRDefault="0013093E" w:rsidP="0013093E">
            <w:pPr>
              <w:pStyle w:val="SignatureLine"/>
              <w:widowControl w:val="0"/>
              <w:spacing w:before="0"/>
              <w:ind w:left="10800" w:hanging="10800"/>
              <w:rPr>
                <w:sz w:val="22"/>
                <w:szCs w:val="22"/>
              </w:rPr>
            </w:pPr>
          </w:p>
          <w:p w14:paraId="0211066B" w14:textId="77777777" w:rsidR="0013093E" w:rsidRPr="00EE19AE" w:rsidRDefault="0013093E" w:rsidP="0013093E">
            <w:pPr>
              <w:pStyle w:val="SignatureLine"/>
              <w:widowControl w:val="0"/>
              <w:spacing w:before="0"/>
              <w:ind w:left="10800" w:hanging="10800"/>
              <w:rPr>
                <w:sz w:val="22"/>
                <w:szCs w:val="22"/>
              </w:rPr>
            </w:pPr>
            <w:r w:rsidRPr="00EE19AE">
              <w:rPr>
                <w:sz w:val="22"/>
                <w:szCs w:val="22"/>
              </w:rPr>
              <w:t xml:space="preserve">  </w:t>
            </w:r>
          </w:p>
        </w:tc>
        <w:tc>
          <w:tcPr>
            <w:tcW w:w="5333" w:type="dxa"/>
            <w:gridSpan w:val="3"/>
          </w:tcPr>
          <w:p w14:paraId="622FECBE" w14:textId="60101630" w:rsidR="0013093E" w:rsidRPr="00EE19AE" w:rsidRDefault="00C20A77" w:rsidP="0013093E">
            <w:pPr>
              <w:pStyle w:val="SignatureLine"/>
              <w:widowControl w:val="0"/>
              <w:spacing w:before="0"/>
              <w:ind w:left="10800" w:hanging="10800"/>
              <w:jc w:val="both"/>
              <w:rPr>
                <w:b/>
                <w:sz w:val="22"/>
                <w:szCs w:val="22"/>
              </w:rPr>
            </w:pPr>
            <w:r w:rsidRPr="00EE19AE">
              <w:rPr>
                <w:b/>
                <w:sz w:val="22"/>
                <w:szCs w:val="22"/>
              </w:rPr>
              <w:t>[LEAD INVESTOR]</w:t>
            </w:r>
          </w:p>
        </w:tc>
      </w:tr>
      <w:tr w:rsidR="0013093E" w:rsidRPr="00EE19AE" w14:paraId="569BD0CE" w14:textId="77777777" w:rsidTr="00ED6172">
        <w:tc>
          <w:tcPr>
            <w:tcW w:w="4027" w:type="dxa"/>
          </w:tcPr>
          <w:p w14:paraId="2BAB9542" w14:textId="77777777" w:rsidR="0013093E" w:rsidRPr="00EE19AE" w:rsidRDefault="0013093E" w:rsidP="00EA6F3A">
            <w:pPr>
              <w:pStyle w:val="SignatureLine"/>
              <w:widowControl w:val="0"/>
              <w:spacing w:before="0"/>
              <w:ind w:left="0"/>
              <w:rPr>
                <w:sz w:val="22"/>
                <w:szCs w:val="22"/>
              </w:rPr>
            </w:pPr>
          </w:p>
        </w:tc>
        <w:tc>
          <w:tcPr>
            <w:tcW w:w="598" w:type="dxa"/>
            <w:shd w:val="clear" w:color="auto" w:fill="auto"/>
          </w:tcPr>
          <w:p w14:paraId="7089D61F" w14:textId="77777777" w:rsidR="0013093E" w:rsidRPr="00EE19AE" w:rsidRDefault="0013093E" w:rsidP="00EA6F3A">
            <w:pPr>
              <w:pStyle w:val="SignatureLine"/>
              <w:widowControl w:val="0"/>
              <w:spacing w:before="0"/>
              <w:ind w:left="0"/>
              <w:jc w:val="both"/>
              <w:rPr>
                <w:sz w:val="22"/>
                <w:szCs w:val="22"/>
              </w:rPr>
            </w:pPr>
            <w:r w:rsidRPr="00EE19AE">
              <w:rPr>
                <w:sz w:val="22"/>
                <w:szCs w:val="22"/>
              </w:rPr>
              <w:t>By:</w:t>
            </w:r>
          </w:p>
        </w:tc>
        <w:tc>
          <w:tcPr>
            <w:tcW w:w="473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2E85899" w14:textId="77777777" w:rsidR="0013093E" w:rsidRPr="00EE19AE" w:rsidRDefault="0013093E" w:rsidP="00EA6F3A">
            <w:pPr>
              <w:pStyle w:val="SignatureLine"/>
              <w:widowControl w:val="0"/>
              <w:spacing w:before="0"/>
              <w:ind w:left="0"/>
              <w:jc w:val="both"/>
              <w:rPr>
                <w:sz w:val="22"/>
                <w:szCs w:val="22"/>
              </w:rPr>
            </w:pPr>
          </w:p>
        </w:tc>
      </w:tr>
      <w:tr w:rsidR="0013093E" w:rsidRPr="00EE19AE" w14:paraId="480F87AE" w14:textId="77777777" w:rsidTr="00ED6172">
        <w:tc>
          <w:tcPr>
            <w:tcW w:w="4027" w:type="dxa"/>
          </w:tcPr>
          <w:p w14:paraId="32A645FB" w14:textId="77777777" w:rsidR="0013093E" w:rsidRPr="00EE19AE" w:rsidRDefault="0013093E" w:rsidP="00EA6F3A">
            <w:pPr>
              <w:pStyle w:val="SignatureLine"/>
              <w:widowControl w:val="0"/>
              <w:spacing w:before="0"/>
              <w:ind w:left="0"/>
              <w:rPr>
                <w:sz w:val="22"/>
                <w:szCs w:val="22"/>
              </w:rPr>
            </w:pPr>
          </w:p>
        </w:tc>
        <w:tc>
          <w:tcPr>
            <w:tcW w:w="598" w:type="dxa"/>
            <w:shd w:val="clear" w:color="auto" w:fill="auto"/>
          </w:tcPr>
          <w:p w14:paraId="2FD76B2D" w14:textId="77777777" w:rsidR="0013093E" w:rsidRPr="00EE19AE" w:rsidRDefault="0013093E" w:rsidP="00EA6F3A">
            <w:pPr>
              <w:pStyle w:val="SignatureLine"/>
              <w:widowControl w:val="0"/>
              <w:spacing w:before="0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473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63771A4" w14:textId="77777777" w:rsidR="0013093E" w:rsidRPr="00EE19AE" w:rsidRDefault="0013093E" w:rsidP="00EA6F3A">
            <w:pPr>
              <w:pStyle w:val="SignatureLine"/>
              <w:widowControl w:val="0"/>
              <w:spacing w:before="0"/>
              <w:ind w:left="0"/>
              <w:jc w:val="both"/>
              <w:rPr>
                <w:sz w:val="22"/>
                <w:szCs w:val="22"/>
              </w:rPr>
            </w:pPr>
          </w:p>
        </w:tc>
      </w:tr>
      <w:tr w:rsidR="0013093E" w:rsidRPr="00EE19AE" w14:paraId="6005377F" w14:textId="77777777" w:rsidTr="00ED6172">
        <w:tc>
          <w:tcPr>
            <w:tcW w:w="4027" w:type="dxa"/>
          </w:tcPr>
          <w:p w14:paraId="16D4F5A8" w14:textId="77777777" w:rsidR="0013093E" w:rsidRPr="00EE19AE" w:rsidRDefault="0013093E" w:rsidP="00EA6F3A">
            <w:pPr>
              <w:pStyle w:val="SignatureLine"/>
              <w:widowControl w:val="0"/>
              <w:spacing w:before="0"/>
              <w:ind w:left="0"/>
              <w:rPr>
                <w:sz w:val="22"/>
                <w:szCs w:val="22"/>
              </w:rPr>
            </w:pPr>
          </w:p>
        </w:tc>
        <w:tc>
          <w:tcPr>
            <w:tcW w:w="598" w:type="dxa"/>
            <w:shd w:val="clear" w:color="auto" w:fill="auto"/>
          </w:tcPr>
          <w:p w14:paraId="02E0E089" w14:textId="77777777" w:rsidR="0013093E" w:rsidRPr="00EE19AE" w:rsidRDefault="0013093E" w:rsidP="00EA6F3A">
            <w:pPr>
              <w:pStyle w:val="SignatureLine"/>
              <w:widowControl w:val="0"/>
              <w:spacing w:before="0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854" w:type="dxa"/>
            <w:shd w:val="clear" w:color="auto" w:fill="auto"/>
          </w:tcPr>
          <w:p w14:paraId="0812AB95" w14:textId="77777777" w:rsidR="0013093E" w:rsidRPr="00EE19AE" w:rsidRDefault="0013093E" w:rsidP="00EA6F3A">
            <w:pPr>
              <w:pStyle w:val="SignatureLine"/>
              <w:widowControl w:val="0"/>
              <w:spacing w:before="0"/>
              <w:ind w:left="0"/>
              <w:jc w:val="both"/>
              <w:rPr>
                <w:sz w:val="22"/>
                <w:szCs w:val="22"/>
              </w:rPr>
            </w:pPr>
            <w:r w:rsidRPr="00EE19AE">
              <w:rPr>
                <w:sz w:val="22"/>
                <w:szCs w:val="22"/>
              </w:rPr>
              <w:t>Name:</w:t>
            </w:r>
          </w:p>
        </w:tc>
        <w:tc>
          <w:tcPr>
            <w:tcW w:w="3881" w:type="dxa"/>
            <w:tcBorders>
              <w:bottom w:val="single" w:sz="4" w:space="0" w:color="auto"/>
            </w:tcBorders>
            <w:shd w:val="clear" w:color="auto" w:fill="auto"/>
          </w:tcPr>
          <w:p w14:paraId="4F4D355E" w14:textId="214FD854" w:rsidR="0013093E" w:rsidRPr="00EE19AE" w:rsidRDefault="0013093E" w:rsidP="00EA6F3A">
            <w:pPr>
              <w:pStyle w:val="SignatureLine"/>
              <w:widowControl w:val="0"/>
              <w:spacing w:before="0"/>
              <w:ind w:left="0"/>
              <w:jc w:val="both"/>
              <w:rPr>
                <w:sz w:val="22"/>
                <w:szCs w:val="22"/>
              </w:rPr>
            </w:pPr>
          </w:p>
        </w:tc>
      </w:tr>
      <w:tr w:rsidR="0013093E" w:rsidRPr="00EE19AE" w14:paraId="4B5E272C" w14:textId="77777777" w:rsidTr="00ED6172">
        <w:tc>
          <w:tcPr>
            <w:tcW w:w="4027" w:type="dxa"/>
          </w:tcPr>
          <w:p w14:paraId="432EE452" w14:textId="77777777" w:rsidR="0013093E" w:rsidRPr="00EE19AE" w:rsidRDefault="0013093E" w:rsidP="00EA6F3A">
            <w:pPr>
              <w:pStyle w:val="SignatureLine"/>
              <w:widowControl w:val="0"/>
              <w:spacing w:before="0"/>
              <w:ind w:left="0"/>
              <w:rPr>
                <w:sz w:val="22"/>
                <w:szCs w:val="22"/>
              </w:rPr>
            </w:pPr>
          </w:p>
        </w:tc>
        <w:tc>
          <w:tcPr>
            <w:tcW w:w="598" w:type="dxa"/>
            <w:shd w:val="clear" w:color="auto" w:fill="auto"/>
          </w:tcPr>
          <w:p w14:paraId="78F9E7D1" w14:textId="77777777" w:rsidR="0013093E" w:rsidRPr="00EE19AE" w:rsidRDefault="0013093E" w:rsidP="00EA6F3A">
            <w:pPr>
              <w:pStyle w:val="SignatureLine"/>
              <w:widowControl w:val="0"/>
              <w:spacing w:before="0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854" w:type="dxa"/>
            <w:shd w:val="clear" w:color="auto" w:fill="auto"/>
          </w:tcPr>
          <w:p w14:paraId="263F2873" w14:textId="77777777" w:rsidR="0013093E" w:rsidRPr="00EE19AE" w:rsidRDefault="0013093E" w:rsidP="00EA6F3A">
            <w:pPr>
              <w:pStyle w:val="SignatureLine"/>
              <w:widowControl w:val="0"/>
              <w:spacing w:before="0"/>
              <w:ind w:left="0"/>
              <w:jc w:val="both"/>
              <w:rPr>
                <w:sz w:val="22"/>
                <w:szCs w:val="22"/>
              </w:rPr>
            </w:pPr>
          </w:p>
          <w:p w14:paraId="5FFF906D" w14:textId="77777777" w:rsidR="0013093E" w:rsidRPr="00EE19AE" w:rsidRDefault="0013093E" w:rsidP="00EA6F3A">
            <w:pPr>
              <w:pStyle w:val="SignatureLine"/>
              <w:widowControl w:val="0"/>
              <w:spacing w:before="0"/>
              <w:ind w:left="0"/>
              <w:jc w:val="both"/>
              <w:rPr>
                <w:sz w:val="22"/>
                <w:szCs w:val="22"/>
              </w:rPr>
            </w:pPr>
            <w:r w:rsidRPr="00EE19AE">
              <w:rPr>
                <w:sz w:val="22"/>
                <w:szCs w:val="22"/>
              </w:rPr>
              <w:t>Title:</w:t>
            </w:r>
          </w:p>
        </w:tc>
        <w:tc>
          <w:tcPr>
            <w:tcW w:w="38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A549ED4" w14:textId="0F2AC7B0" w:rsidR="0013093E" w:rsidRPr="00EE19AE" w:rsidRDefault="0013093E" w:rsidP="00EA6F3A">
            <w:pPr>
              <w:pStyle w:val="SignatureLine"/>
              <w:widowControl w:val="0"/>
              <w:spacing w:before="0"/>
              <w:ind w:left="0"/>
              <w:jc w:val="both"/>
              <w:rPr>
                <w:sz w:val="22"/>
                <w:szCs w:val="22"/>
              </w:rPr>
            </w:pPr>
          </w:p>
        </w:tc>
      </w:tr>
      <w:tr w:rsidR="0013093E" w:rsidRPr="00EE19AE" w14:paraId="2C2C4852" w14:textId="77777777" w:rsidTr="00ED6172">
        <w:tc>
          <w:tcPr>
            <w:tcW w:w="4027" w:type="dxa"/>
          </w:tcPr>
          <w:p w14:paraId="76119BFF" w14:textId="77777777" w:rsidR="0013093E" w:rsidRPr="00EE19AE" w:rsidRDefault="0013093E" w:rsidP="00EA6F3A">
            <w:pPr>
              <w:pStyle w:val="SignatureLine"/>
              <w:widowControl w:val="0"/>
              <w:spacing w:before="0"/>
              <w:ind w:left="0"/>
              <w:rPr>
                <w:sz w:val="22"/>
                <w:szCs w:val="22"/>
              </w:rPr>
            </w:pPr>
          </w:p>
        </w:tc>
        <w:tc>
          <w:tcPr>
            <w:tcW w:w="598" w:type="dxa"/>
            <w:shd w:val="clear" w:color="auto" w:fill="auto"/>
          </w:tcPr>
          <w:p w14:paraId="1C9A7DC0" w14:textId="77777777" w:rsidR="0013093E" w:rsidRPr="00EE19AE" w:rsidRDefault="0013093E" w:rsidP="00EA6F3A">
            <w:pPr>
              <w:pStyle w:val="SignatureLine"/>
              <w:widowControl w:val="0"/>
              <w:spacing w:before="0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854" w:type="dxa"/>
            <w:shd w:val="clear" w:color="auto" w:fill="auto"/>
          </w:tcPr>
          <w:p w14:paraId="6DD6E8D1" w14:textId="77777777" w:rsidR="0013093E" w:rsidRPr="00EE19AE" w:rsidRDefault="0013093E" w:rsidP="00EA6F3A">
            <w:pPr>
              <w:pStyle w:val="SignatureLine"/>
              <w:widowControl w:val="0"/>
              <w:spacing w:before="0"/>
              <w:ind w:left="0"/>
              <w:jc w:val="both"/>
              <w:rPr>
                <w:sz w:val="22"/>
                <w:szCs w:val="22"/>
              </w:rPr>
            </w:pPr>
          </w:p>
          <w:p w14:paraId="68AE915C" w14:textId="77777777" w:rsidR="0013093E" w:rsidRPr="00EE19AE" w:rsidRDefault="0013093E" w:rsidP="00EA6F3A">
            <w:pPr>
              <w:pStyle w:val="SignatureLine"/>
              <w:widowControl w:val="0"/>
              <w:spacing w:before="0"/>
              <w:ind w:left="0"/>
              <w:jc w:val="both"/>
              <w:rPr>
                <w:sz w:val="22"/>
                <w:szCs w:val="22"/>
              </w:rPr>
            </w:pPr>
            <w:r w:rsidRPr="00EE19AE">
              <w:rPr>
                <w:sz w:val="22"/>
                <w:szCs w:val="22"/>
              </w:rPr>
              <w:t>Date:</w:t>
            </w:r>
          </w:p>
        </w:tc>
        <w:tc>
          <w:tcPr>
            <w:tcW w:w="38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0B64F2" w14:textId="77777777" w:rsidR="0013093E" w:rsidRPr="00EE19AE" w:rsidRDefault="0013093E" w:rsidP="00EA6F3A">
            <w:pPr>
              <w:pStyle w:val="SignatureLine"/>
              <w:widowControl w:val="0"/>
              <w:spacing w:before="0"/>
              <w:ind w:left="0"/>
              <w:jc w:val="both"/>
              <w:rPr>
                <w:sz w:val="22"/>
                <w:szCs w:val="22"/>
              </w:rPr>
            </w:pPr>
          </w:p>
        </w:tc>
      </w:tr>
      <w:tr w:rsidR="0013093E" w:rsidRPr="00EE19AE" w14:paraId="1A23FC3E" w14:textId="77777777" w:rsidTr="00ED6172">
        <w:tc>
          <w:tcPr>
            <w:tcW w:w="4027" w:type="dxa"/>
          </w:tcPr>
          <w:p w14:paraId="39DF324E" w14:textId="77777777" w:rsidR="0013093E" w:rsidRPr="00EE19AE" w:rsidRDefault="0013093E" w:rsidP="00EA6F3A">
            <w:pPr>
              <w:pStyle w:val="SignatureLine"/>
              <w:widowControl w:val="0"/>
              <w:spacing w:before="0"/>
              <w:ind w:left="10800" w:hanging="10800"/>
              <w:rPr>
                <w:sz w:val="22"/>
                <w:szCs w:val="22"/>
              </w:rPr>
            </w:pPr>
          </w:p>
        </w:tc>
        <w:tc>
          <w:tcPr>
            <w:tcW w:w="5333" w:type="dxa"/>
            <w:gridSpan w:val="3"/>
          </w:tcPr>
          <w:p w14:paraId="42999CDF" w14:textId="77777777" w:rsidR="0013093E" w:rsidRPr="00EE19AE" w:rsidRDefault="0013093E" w:rsidP="00EA6F3A">
            <w:pPr>
              <w:pStyle w:val="SignatureLine"/>
              <w:widowControl w:val="0"/>
              <w:spacing w:before="0"/>
              <w:ind w:left="10800" w:hanging="10800"/>
              <w:jc w:val="both"/>
              <w:rPr>
                <w:sz w:val="22"/>
                <w:szCs w:val="22"/>
              </w:rPr>
            </w:pPr>
          </w:p>
        </w:tc>
      </w:tr>
    </w:tbl>
    <w:p w14:paraId="755A4786" w14:textId="77777777" w:rsidR="008803AD" w:rsidRPr="00EE19AE" w:rsidRDefault="00EF3BEA" w:rsidP="008803AD">
      <w:pPr>
        <w:ind w:left="4320"/>
        <w:rPr>
          <w:rFonts w:ascii="Times New Roman" w:hAnsi="Times New Roman" w:cs="Times New Roman"/>
        </w:rPr>
      </w:pPr>
    </w:p>
    <w:p w14:paraId="2376C390" w14:textId="77777777" w:rsidR="008803AD" w:rsidRPr="008803AD" w:rsidRDefault="00EF3BEA" w:rsidP="008803AD">
      <w:pPr>
        <w:pStyle w:val="BodyText"/>
        <w:ind w:firstLine="0"/>
        <w:rPr>
          <w:szCs w:val="22"/>
        </w:rPr>
      </w:pPr>
    </w:p>
    <w:p w14:paraId="1E3923BC" w14:textId="77777777" w:rsidR="00530AD7" w:rsidRDefault="00EF3BEA">
      <w:pPr>
        <w:rPr>
          <w:rFonts w:ascii="Times New Roman" w:hAnsi="Times New Roman" w:cs="Times New Roman"/>
        </w:rPr>
      </w:pPr>
    </w:p>
    <w:p w14:paraId="111CB486" w14:textId="77777777" w:rsidR="00D65517" w:rsidRDefault="00EF3BEA">
      <w:pPr>
        <w:rPr>
          <w:rFonts w:ascii="Times New Roman" w:hAnsi="Times New Roman" w:cs="Times New Roman"/>
        </w:rPr>
      </w:pPr>
    </w:p>
    <w:sectPr w:rsidR="00D65517" w:rsidSect="00B204F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E5320" w14:textId="77777777" w:rsidR="00EF3BEA" w:rsidRDefault="00EF3BEA">
      <w:pPr>
        <w:spacing w:after="0" w:line="240" w:lineRule="auto"/>
      </w:pPr>
      <w:r>
        <w:separator/>
      </w:r>
    </w:p>
  </w:endnote>
  <w:endnote w:type="continuationSeparator" w:id="0">
    <w:p w14:paraId="1D84C3F0" w14:textId="77777777" w:rsidR="00EF3BEA" w:rsidRDefault="00EF3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18948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0BAA2ACC" w14:textId="77777777" w:rsidR="003D372E" w:rsidRPr="002A33F7" w:rsidRDefault="006354CC">
        <w:pPr>
          <w:pStyle w:val="Footer"/>
          <w:jc w:val="center"/>
          <w:rPr>
            <w:rFonts w:ascii="Times New Roman" w:hAnsi="Times New Roman" w:cs="Times New Roman"/>
          </w:rPr>
        </w:pPr>
        <w:r w:rsidRPr="002A33F7">
          <w:rPr>
            <w:rFonts w:ascii="Times New Roman" w:hAnsi="Times New Roman" w:cs="Times New Roman"/>
          </w:rPr>
          <w:fldChar w:fldCharType="begin"/>
        </w:r>
        <w:r w:rsidRPr="002A33F7">
          <w:rPr>
            <w:rFonts w:ascii="Times New Roman" w:hAnsi="Times New Roman" w:cs="Times New Roman"/>
          </w:rPr>
          <w:instrText xml:space="preserve"> PAGE   \* MERGEFORMAT </w:instrText>
        </w:r>
        <w:r w:rsidRPr="002A33F7">
          <w:rPr>
            <w:rFonts w:ascii="Times New Roman" w:hAnsi="Times New Roman" w:cs="Times New Roman"/>
          </w:rPr>
          <w:fldChar w:fldCharType="separate"/>
        </w:r>
        <w:r w:rsidRPr="002A33F7">
          <w:rPr>
            <w:rFonts w:ascii="Times New Roman" w:hAnsi="Times New Roman" w:cs="Times New Roman"/>
            <w:noProof/>
          </w:rPr>
          <w:t>1</w:t>
        </w:r>
        <w:r w:rsidRPr="002A33F7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A389287" w14:textId="77777777" w:rsidR="003D372E" w:rsidRDefault="00EF3B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67E3F" w14:textId="77777777" w:rsidR="00EF3BEA" w:rsidRDefault="00EF3BEA">
      <w:pPr>
        <w:spacing w:after="0" w:line="240" w:lineRule="auto"/>
      </w:pPr>
      <w:r>
        <w:separator/>
      </w:r>
    </w:p>
  </w:footnote>
  <w:footnote w:type="continuationSeparator" w:id="0">
    <w:p w14:paraId="02694A5B" w14:textId="77777777" w:rsidR="00EF3BEA" w:rsidRDefault="00EF3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79C18" w14:textId="1128F3E7" w:rsidR="004E21F3" w:rsidRDefault="00EF3BEA" w:rsidP="006C6B84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503"/>
    <w:rsid w:val="00004370"/>
    <w:rsid w:val="00036C16"/>
    <w:rsid w:val="00037D2A"/>
    <w:rsid w:val="00047943"/>
    <w:rsid w:val="00054F77"/>
    <w:rsid w:val="00057CD8"/>
    <w:rsid w:val="000624BA"/>
    <w:rsid w:val="000768D7"/>
    <w:rsid w:val="00077D1A"/>
    <w:rsid w:val="00095EA3"/>
    <w:rsid w:val="000A4AF8"/>
    <w:rsid w:val="000B11BC"/>
    <w:rsid w:val="000C5E04"/>
    <w:rsid w:val="000E04BA"/>
    <w:rsid w:val="000E2508"/>
    <w:rsid w:val="000F4FA0"/>
    <w:rsid w:val="00102040"/>
    <w:rsid w:val="00120655"/>
    <w:rsid w:val="00121F99"/>
    <w:rsid w:val="0013093E"/>
    <w:rsid w:val="001363C2"/>
    <w:rsid w:val="00174296"/>
    <w:rsid w:val="001826B6"/>
    <w:rsid w:val="001A25E4"/>
    <w:rsid w:val="001B49A4"/>
    <w:rsid w:val="001C1EC6"/>
    <w:rsid w:val="001C2A19"/>
    <w:rsid w:val="001C4D11"/>
    <w:rsid w:val="001D51D5"/>
    <w:rsid w:val="001F212B"/>
    <w:rsid w:val="001F4CA9"/>
    <w:rsid w:val="00204874"/>
    <w:rsid w:val="00216727"/>
    <w:rsid w:val="00220521"/>
    <w:rsid w:val="00222521"/>
    <w:rsid w:val="00222C25"/>
    <w:rsid w:val="00230FB8"/>
    <w:rsid w:val="002408A6"/>
    <w:rsid w:val="0024183E"/>
    <w:rsid w:val="0026459B"/>
    <w:rsid w:val="0027057F"/>
    <w:rsid w:val="00280467"/>
    <w:rsid w:val="00283A9D"/>
    <w:rsid w:val="00283DFC"/>
    <w:rsid w:val="00296CB7"/>
    <w:rsid w:val="00297BB3"/>
    <w:rsid w:val="002A33F7"/>
    <w:rsid w:val="002A6F2D"/>
    <w:rsid w:val="002A6FC7"/>
    <w:rsid w:val="002B6CE6"/>
    <w:rsid w:val="002D3515"/>
    <w:rsid w:val="002D68C2"/>
    <w:rsid w:val="002E7568"/>
    <w:rsid w:val="00305609"/>
    <w:rsid w:val="00314303"/>
    <w:rsid w:val="00384AAA"/>
    <w:rsid w:val="00385B3B"/>
    <w:rsid w:val="00386EF3"/>
    <w:rsid w:val="00391DDF"/>
    <w:rsid w:val="003A0BC4"/>
    <w:rsid w:val="004428E4"/>
    <w:rsid w:val="00461B0C"/>
    <w:rsid w:val="00461B17"/>
    <w:rsid w:val="00474564"/>
    <w:rsid w:val="004855E8"/>
    <w:rsid w:val="00490F07"/>
    <w:rsid w:val="004934EB"/>
    <w:rsid w:val="00496244"/>
    <w:rsid w:val="00496D7D"/>
    <w:rsid w:val="004C15B6"/>
    <w:rsid w:val="004D20F3"/>
    <w:rsid w:val="004F5658"/>
    <w:rsid w:val="004F6A69"/>
    <w:rsid w:val="00503DA2"/>
    <w:rsid w:val="0054573D"/>
    <w:rsid w:val="005607EA"/>
    <w:rsid w:val="005608C2"/>
    <w:rsid w:val="00562AFD"/>
    <w:rsid w:val="005676B2"/>
    <w:rsid w:val="00570A2F"/>
    <w:rsid w:val="00587137"/>
    <w:rsid w:val="005A37FD"/>
    <w:rsid w:val="005B4F37"/>
    <w:rsid w:val="005B578F"/>
    <w:rsid w:val="005C7639"/>
    <w:rsid w:val="005D3E45"/>
    <w:rsid w:val="005E7D0C"/>
    <w:rsid w:val="0060037A"/>
    <w:rsid w:val="006257DC"/>
    <w:rsid w:val="006354CC"/>
    <w:rsid w:val="00640A34"/>
    <w:rsid w:val="00641000"/>
    <w:rsid w:val="0065739D"/>
    <w:rsid w:val="006733B3"/>
    <w:rsid w:val="00677DF5"/>
    <w:rsid w:val="006A13D8"/>
    <w:rsid w:val="006B05D2"/>
    <w:rsid w:val="006B138F"/>
    <w:rsid w:val="006B30F1"/>
    <w:rsid w:val="006B4E0E"/>
    <w:rsid w:val="006C6220"/>
    <w:rsid w:val="0071450D"/>
    <w:rsid w:val="00717F78"/>
    <w:rsid w:val="00725D04"/>
    <w:rsid w:val="007425FA"/>
    <w:rsid w:val="007510C1"/>
    <w:rsid w:val="00786FD0"/>
    <w:rsid w:val="0079452C"/>
    <w:rsid w:val="007A2772"/>
    <w:rsid w:val="007A5948"/>
    <w:rsid w:val="007B3F30"/>
    <w:rsid w:val="007B7941"/>
    <w:rsid w:val="007D4CF4"/>
    <w:rsid w:val="007E1215"/>
    <w:rsid w:val="00802803"/>
    <w:rsid w:val="0081011F"/>
    <w:rsid w:val="00822055"/>
    <w:rsid w:val="00832B11"/>
    <w:rsid w:val="00856DDD"/>
    <w:rsid w:val="008622DC"/>
    <w:rsid w:val="008815E2"/>
    <w:rsid w:val="008A3CC5"/>
    <w:rsid w:val="008B793D"/>
    <w:rsid w:val="008D07B8"/>
    <w:rsid w:val="008D4012"/>
    <w:rsid w:val="008E3EE1"/>
    <w:rsid w:val="008F0584"/>
    <w:rsid w:val="008F1C00"/>
    <w:rsid w:val="008F7FDD"/>
    <w:rsid w:val="00901D5F"/>
    <w:rsid w:val="00904AD9"/>
    <w:rsid w:val="00904CFF"/>
    <w:rsid w:val="009054EE"/>
    <w:rsid w:val="00925B62"/>
    <w:rsid w:val="009A032A"/>
    <w:rsid w:val="009F26C4"/>
    <w:rsid w:val="00A052FF"/>
    <w:rsid w:val="00A16725"/>
    <w:rsid w:val="00A4175F"/>
    <w:rsid w:val="00A51659"/>
    <w:rsid w:val="00A92DE0"/>
    <w:rsid w:val="00AA7528"/>
    <w:rsid w:val="00AD3EF5"/>
    <w:rsid w:val="00B23BD7"/>
    <w:rsid w:val="00B543CA"/>
    <w:rsid w:val="00B555C7"/>
    <w:rsid w:val="00B5579F"/>
    <w:rsid w:val="00B61829"/>
    <w:rsid w:val="00B71437"/>
    <w:rsid w:val="00B964CE"/>
    <w:rsid w:val="00BB5AF1"/>
    <w:rsid w:val="00BB7CC5"/>
    <w:rsid w:val="00BD153B"/>
    <w:rsid w:val="00BD3CFD"/>
    <w:rsid w:val="00BF0EAA"/>
    <w:rsid w:val="00C20A77"/>
    <w:rsid w:val="00C23EF8"/>
    <w:rsid w:val="00C454AB"/>
    <w:rsid w:val="00C70C85"/>
    <w:rsid w:val="00C71B8E"/>
    <w:rsid w:val="00C72917"/>
    <w:rsid w:val="00CB53C1"/>
    <w:rsid w:val="00CC5230"/>
    <w:rsid w:val="00CD0458"/>
    <w:rsid w:val="00CD1E6A"/>
    <w:rsid w:val="00D02CFD"/>
    <w:rsid w:val="00D124D9"/>
    <w:rsid w:val="00D1738A"/>
    <w:rsid w:val="00D21EB8"/>
    <w:rsid w:val="00D27CA8"/>
    <w:rsid w:val="00D44B71"/>
    <w:rsid w:val="00D46637"/>
    <w:rsid w:val="00D54EEB"/>
    <w:rsid w:val="00D557E7"/>
    <w:rsid w:val="00D97B11"/>
    <w:rsid w:val="00DA29FD"/>
    <w:rsid w:val="00DC5178"/>
    <w:rsid w:val="00DD324E"/>
    <w:rsid w:val="00DE1E04"/>
    <w:rsid w:val="00E133FC"/>
    <w:rsid w:val="00E2107A"/>
    <w:rsid w:val="00E21E83"/>
    <w:rsid w:val="00E523F0"/>
    <w:rsid w:val="00E54340"/>
    <w:rsid w:val="00E701F8"/>
    <w:rsid w:val="00E71B6D"/>
    <w:rsid w:val="00EB1AD2"/>
    <w:rsid w:val="00ED185C"/>
    <w:rsid w:val="00ED2CA1"/>
    <w:rsid w:val="00ED2EC1"/>
    <w:rsid w:val="00ED6172"/>
    <w:rsid w:val="00EE19AE"/>
    <w:rsid w:val="00EE4800"/>
    <w:rsid w:val="00EF3BEA"/>
    <w:rsid w:val="00F02245"/>
    <w:rsid w:val="00F046F3"/>
    <w:rsid w:val="00F06791"/>
    <w:rsid w:val="00F22AEB"/>
    <w:rsid w:val="00F440B3"/>
    <w:rsid w:val="00F446C1"/>
    <w:rsid w:val="00F70D48"/>
    <w:rsid w:val="00F84A7E"/>
    <w:rsid w:val="00FA3503"/>
    <w:rsid w:val="00FB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5BC72"/>
  <w15:docId w15:val="{496F1D2F-214F-9B4B-9294-99423E4E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1F3"/>
  </w:style>
  <w:style w:type="paragraph" w:styleId="Footer">
    <w:name w:val="footer"/>
    <w:basedOn w:val="Normal"/>
    <w:link w:val="FooterChar"/>
    <w:uiPriority w:val="99"/>
    <w:unhideWhenUsed/>
    <w:rsid w:val="004E2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1F3"/>
  </w:style>
  <w:style w:type="paragraph" w:styleId="BodyText">
    <w:name w:val="Body Text"/>
    <w:basedOn w:val="Normal"/>
    <w:link w:val="BodyTextChar"/>
    <w:rsid w:val="008803AD"/>
    <w:pPr>
      <w:spacing w:after="240" w:line="240" w:lineRule="auto"/>
      <w:ind w:firstLine="72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8803AD"/>
    <w:rPr>
      <w:rFonts w:ascii="Times New Roman" w:eastAsia="Times New Roman" w:hAnsi="Times New Roman" w:cs="Times New Roman"/>
      <w:szCs w:val="20"/>
    </w:rPr>
  </w:style>
  <w:style w:type="paragraph" w:customStyle="1" w:styleId="TableText">
    <w:name w:val="Table Text"/>
    <w:basedOn w:val="Normal"/>
    <w:rsid w:val="008803AD"/>
    <w:pPr>
      <w:tabs>
        <w:tab w:val="left" w:pos="432"/>
      </w:tabs>
      <w:suppressAutoHyphens/>
      <w:autoSpaceDE w:val="0"/>
      <w:autoSpaceDN w:val="0"/>
      <w:adjustRightInd w:val="0"/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gnatureLine">
    <w:name w:val="Signature Line"/>
    <w:basedOn w:val="Normal"/>
    <w:rsid w:val="008803AD"/>
    <w:pPr>
      <w:tabs>
        <w:tab w:val="left" w:pos="5472"/>
        <w:tab w:val="left" w:pos="9648"/>
      </w:tabs>
      <w:spacing w:before="240" w:after="0" w:line="240" w:lineRule="auto"/>
      <w:ind w:left="5040"/>
    </w:pPr>
    <w:rPr>
      <w:rFonts w:ascii="Times New Roman" w:eastAsia="MS Mincho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16B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6B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6B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6B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6B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B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B83"/>
    <w:rPr>
      <w:rFonts w:ascii="Segoe UI" w:hAnsi="Segoe UI" w:cs="Segoe UI"/>
      <w:sz w:val="18"/>
      <w:szCs w:val="18"/>
    </w:rPr>
  </w:style>
  <w:style w:type="character" w:customStyle="1" w:styleId="DocID">
    <w:name w:val="DocID"/>
    <w:basedOn w:val="DefaultParagraphFont"/>
    <w:rsid w:val="00B74DD6"/>
    <w:rPr>
      <w:rFonts w:ascii="Times New Roman" w:hAnsi="Times New Roman" w:cs="Times New Roman"/>
      <w:b w:val="0"/>
      <w:i w:val="0"/>
      <w:caps w:val="0"/>
      <w:vanish w:val="0"/>
      <w:color w:val="000000"/>
      <w:sz w:val="16"/>
      <w:u w:val="none"/>
    </w:rPr>
  </w:style>
  <w:style w:type="paragraph" w:styleId="Revision">
    <w:name w:val="Revision"/>
    <w:hidden/>
    <w:uiPriority w:val="99"/>
    <w:semiHidden/>
    <w:rsid w:val="001C1E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87202-028B-A641-9740-AE9BA6538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2019-01-24T05:57:00Z</dcterms:created>
  <dcterms:modified xsi:type="dcterms:W3CDTF">2019-01-24T09:05:00Z</dcterms:modified>
</cp:coreProperties>
</file>