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B738F6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B738F6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B738F6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9D4B78">
        <w:rPr>
          <w:b w:val="0"/>
          <w:bCs w:val="0"/>
          <w:sz w:val="28"/>
          <w:szCs w:val="28"/>
        </w:rPr>
        <w:t>HRD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CA1B99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F005DC">
        <w:rPr>
          <w:b w:val="0"/>
          <w:bCs w:val="0"/>
          <w:sz w:val="28"/>
          <w:szCs w:val="28"/>
        </w:rPr>
        <w:t>37757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F005DC">
        <w:rPr>
          <w:b w:val="0"/>
          <w:bCs w:val="0"/>
          <w:sz w:val="28"/>
          <w:szCs w:val="28"/>
        </w:rPr>
        <w:t>G.Guruvaiah</w:t>
      </w:r>
      <w:proofErr w:type="spellEnd"/>
      <w:r w:rsidR="004615D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B738F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B738F6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bookmarkStart w:id="0" w:name="_GoBack"/>
      <w:bookmarkEnd w:id="0"/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738F6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15D4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45718"/>
    <w:rsid w:val="00887649"/>
    <w:rsid w:val="00921082"/>
    <w:rsid w:val="009B196A"/>
    <w:rsid w:val="009D4B78"/>
    <w:rsid w:val="00A5698F"/>
    <w:rsid w:val="00A95D05"/>
    <w:rsid w:val="00B738F6"/>
    <w:rsid w:val="00C1710F"/>
    <w:rsid w:val="00C71D77"/>
    <w:rsid w:val="00CA1B99"/>
    <w:rsid w:val="00CB1E5D"/>
    <w:rsid w:val="00CE2E0F"/>
    <w:rsid w:val="00CE5646"/>
    <w:rsid w:val="00DB0A85"/>
    <w:rsid w:val="00E952B3"/>
    <w:rsid w:val="00F005DC"/>
    <w:rsid w:val="00F1229B"/>
    <w:rsid w:val="00F30A1B"/>
    <w:rsid w:val="00F7711C"/>
    <w:rsid w:val="00FA4BE9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2021-10-18T12:06:00Z</dcterms:created>
  <dcterms:modified xsi:type="dcterms:W3CDTF">2021-10-21T07:11:00Z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