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BD6742">
        <w:rPr>
          <w:sz w:val="28"/>
          <w:szCs w:val="28"/>
        </w:rPr>
        <w:t>2</w:t>
      </w:r>
      <w:r w:rsidR="000D5228">
        <w:rPr>
          <w:sz w:val="28"/>
          <w:szCs w:val="28"/>
        </w:rPr>
        <w:t>692</w:t>
      </w:r>
      <w:r w:rsidR="009E45E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3170A">
        <w:rPr>
          <w:sz w:val="28"/>
          <w:szCs w:val="28"/>
        </w:rPr>
        <w:t>11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0D5228" w:rsidRPr="000D5228">
        <w:rPr>
          <w:b/>
          <w:bCs/>
          <w:sz w:val="28"/>
          <w:szCs w:val="28"/>
        </w:rPr>
        <w:t>G. Srinivasa Chary</w:t>
      </w:r>
      <w:r w:rsidR="000D522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2021-03-19T07:20:00Z</dcterms:created>
  <dcterms:modified xsi:type="dcterms:W3CDTF">2021-03-19T07:20:00Z</dcterms:modified>
</cp:coreProperties>
</file>