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 RAC, TSSPDCL,  towards Legal fee  for disposal in WA. No. 342 of </w:t>
      </w:r>
      <w:proofErr w:type="gramStart"/>
      <w:r>
        <w:rPr>
          <w:rFonts w:ascii="Calisto MT" w:hAnsi="Calisto MT"/>
        </w:rPr>
        <w:t>2021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The Southern Power Distribution Company of </w:t>
      </w:r>
      <w:proofErr w:type="spellStart"/>
      <w:r>
        <w:t>Telangana</w:t>
      </w:r>
      <w:proofErr w:type="spellEnd"/>
      <w:r>
        <w:t xml:space="preserve"> State  against the order dated  08-07-2019 passed in WP. No. 33366 of 2015 </w:t>
      </w:r>
      <w:r>
        <w:rPr>
          <w:rFonts w:ascii="Calisto MT" w:hAnsi="Calisto MT"/>
        </w:rPr>
        <w:t xml:space="preserve">disposed on 02- December-2021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33A54" w:rsidRDefault="00433A54" w:rsidP="00433A54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433A54"/>
    <w:rsid w:val="00541B52"/>
    <w:rsid w:val="00734DE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</cp:revision>
  <dcterms:created xsi:type="dcterms:W3CDTF">2022-01-10T06:51:00Z</dcterms:created>
  <dcterms:modified xsi:type="dcterms:W3CDTF">2022-04-19T13:13:00Z</dcterms:modified>
</cp:coreProperties>
</file>