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30-12-2021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</w:t>
      </w:r>
      <w:r w:rsidR="00A85D9E">
        <w:rPr>
          <w:b w:val="0"/>
          <w:bCs w:val="0"/>
          <w:sz w:val="28"/>
          <w:szCs w:val="28"/>
        </w:rPr>
        <w:t>Superintending Engineer, Operation, Hyderabad Central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, TSSPDCL towards filing  Counter affidavit  in WP. No 21349 of 2021 filed by </w:t>
      </w:r>
      <w:r w:rsidRPr="00BB792E">
        <w:rPr>
          <w:b w:val="0"/>
          <w:bCs w:val="0"/>
          <w:sz w:val="28"/>
          <w:szCs w:val="28"/>
        </w:rPr>
        <w:t>Mr Mirza Taimur Baig Najam</w:t>
      </w:r>
      <w:r>
        <w:rPr>
          <w:b w:val="0"/>
          <w:bCs w:val="0"/>
          <w:sz w:val="28"/>
          <w:szCs w:val="28"/>
        </w:rPr>
        <w:t xml:space="preserve"> 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541B52"/>
    <w:rsid w:val="00734DEF"/>
    <w:rsid w:val="00A85D9E"/>
    <w:rsid w:val="00BB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2022-01-10T04:27:00Z</dcterms:created>
  <dcterms:modified xsi:type="dcterms:W3CDTF">2022-04-16T11:07:00Z</dcterms:modified>
</cp:coreProperties>
</file>