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30-12-2021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Chief General Manager, </w:t>
      </w:r>
      <w:r>
        <w:rPr>
          <w:b w:val="0"/>
          <w:bCs w:val="0"/>
          <w:sz w:val="28"/>
          <w:szCs w:val="28"/>
        </w:rPr>
        <w:t>IPC</w:t>
      </w:r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>
        <w:rPr>
          <w:b w:val="0"/>
          <w:bCs w:val="0"/>
          <w:sz w:val="28"/>
          <w:szCs w:val="28"/>
        </w:rPr>
        <w:t>23688</w:t>
      </w:r>
      <w:r>
        <w:rPr>
          <w:b w:val="0"/>
          <w:bCs w:val="0"/>
          <w:sz w:val="28"/>
          <w:szCs w:val="28"/>
        </w:rPr>
        <w:t xml:space="preserve"> of 2021 filed by </w:t>
      </w:r>
      <w:r w:rsidRPr="00BD5EB8">
        <w:rPr>
          <w:b w:val="0"/>
          <w:bCs w:val="0"/>
          <w:sz w:val="28"/>
          <w:szCs w:val="28"/>
        </w:rPr>
        <w:t>M/s Hetero Labs Limited</w:t>
      </w:r>
      <w:r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541B52"/>
    <w:rsid w:val="00734DEF"/>
    <w:rsid w:val="00B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2022-01-09T05:45:00Z</dcterms:created>
  <dcterms:modified xsi:type="dcterms:W3CDTF">2022-01-09T05:46:00Z</dcterms:modified>
</cp:coreProperties>
</file>