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C42C2C">
        <w:rPr>
          <w:rFonts w:ascii="Calisto MT" w:hAnsi="Calisto MT"/>
          <w:b/>
          <w:bCs/>
        </w:rPr>
        <w:t>2500/-</w:t>
      </w:r>
      <w:r w:rsidR="00C42C2C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2C2660">
        <w:rPr>
          <w:rFonts w:ascii="Calisto MT" w:hAnsi="Calisto MT"/>
        </w:rPr>
        <w:t>1</w:t>
      </w:r>
      <w:r w:rsidR="00C062EF">
        <w:rPr>
          <w:rFonts w:ascii="Calisto MT" w:hAnsi="Calisto MT"/>
        </w:rPr>
        <w:t>83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537D8A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C062EF">
        <w:rPr>
          <w:sz w:val="28"/>
          <w:szCs w:val="28"/>
        </w:rPr>
        <w:t xml:space="preserve">Sri Karunakar Rao Madhavaram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C42C2C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42C2C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1E3BFA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37D8A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42C2C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2021-10-28T04:49:00Z</dcterms:created>
  <dcterms:modified xsi:type="dcterms:W3CDTF">2022-04-16T05:28:00Z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