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913586">
        <w:rPr>
          <w:b w:val="0"/>
          <w:bCs w:val="0"/>
          <w:sz w:val="28"/>
          <w:szCs w:val="28"/>
        </w:rPr>
        <w:t>-PROJECTS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913586">
        <w:rPr>
          <w:b w:val="0"/>
          <w:bCs w:val="0"/>
          <w:sz w:val="28"/>
          <w:szCs w:val="28"/>
        </w:rPr>
        <w:t>unter affidavit  in CRP. No 1571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57CC6">
        <w:rPr>
          <w:b w:val="0"/>
          <w:bCs w:val="0"/>
          <w:sz w:val="28"/>
          <w:szCs w:val="28"/>
        </w:rPr>
        <w:t>2</w:t>
      </w:r>
      <w:r w:rsidR="00913586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13586" w:rsidRPr="00913586">
        <w:rPr>
          <w:b w:val="0"/>
          <w:bCs w:val="0"/>
          <w:sz w:val="28"/>
          <w:szCs w:val="28"/>
        </w:rPr>
        <w:t>M/s. M.S.R. Enterprises</w:t>
      </w:r>
      <w:r w:rsidR="0091358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13586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2022-05-16T06:43:00Z</dcterms:modified>
</cp:coreProperties>
</file>