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74D92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TSSPDCL, Legal fee in WP. No.13588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355D70" w:rsidRPr="00355D70">
        <w:rPr>
          <w:sz w:val="28"/>
          <w:szCs w:val="28"/>
        </w:rPr>
        <w:t xml:space="preserve">M/s Celebrity Prima </w:t>
      </w:r>
      <w:proofErr w:type="spellStart"/>
      <w:r w:rsidR="00355D70" w:rsidRPr="00355D70">
        <w:rPr>
          <w:sz w:val="28"/>
          <w:szCs w:val="28"/>
        </w:rPr>
        <w:t>Infracon</w:t>
      </w:r>
      <w:proofErr w:type="spellEnd"/>
      <w:r w:rsidR="00355D70" w:rsidRPr="00355D70">
        <w:rPr>
          <w:sz w:val="28"/>
          <w:szCs w:val="28"/>
        </w:rPr>
        <w:t xml:space="preserve"> India Private Limited</w:t>
      </w:r>
      <w:r w:rsidR="00355D7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55D70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bookmarkStart w:id="0" w:name="_GoBack"/>
      <w:bookmarkEnd w:id="0"/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</cp:revision>
  <dcterms:created xsi:type="dcterms:W3CDTF">2022-01-09T06:31:00Z</dcterms:created>
  <dcterms:modified xsi:type="dcterms:W3CDTF">2022-05-06T04:37:00Z</dcterms:modified>
</cp:coreProperties>
</file>