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F4FC154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C07843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163414">
        <w:rPr>
          <w:b w:val="0"/>
          <w:bCs w:val="0"/>
          <w:sz w:val="28"/>
          <w:szCs w:val="28"/>
        </w:rPr>
        <w:t>1</w:t>
      </w:r>
      <w:r w:rsidR="00BD0F6B">
        <w:rPr>
          <w:b w:val="0"/>
          <w:bCs w:val="0"/>
          <w:sz w:val="28"/>
          <w:szCs w:val="28"/>
        </w:rPr>
        <w:t>9733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D0F6B" w:rsidRPr="00BD0F6B">
        <w:rPr>
          <w:b w:val="0"/>
          <w:bCs w:val="0"/>
          <w:sz w:val="28"/>
          <w:szCs w:val="28"/>
        </w:rPr>
        <w:t>M/s Elife Cycle Management P Limited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9CE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174</cp:revision>
  <dcterms:created xsi:type="dcterms:W3CDTF">2022-01-09T05:48:00Z</dcterms:created>
  <dcterms:modified xsi:type="dcterms:W3CDTF">2023-09-22T14:13:00Z</dcterms:modified>
</cp:coreProperties>
</file>