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numPr>
          <w:ilvl w:val="0"/>
          <w:numId w:val="1"/>
        </w:numPr>
        <w:spacing w:before="0" w:after="200" w:line="276"/>
        <w:ind w:right="0" w:left="720" w:hanging="360"/>
        <w:jc w:val="both"/>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In reply  to the para 3 of the affidavit that  there is no response form the  respondeds for the representation dated 01.08.2015 made by the petitioner herein it is to submit that the predecessor Assistant Divisiional Engineer has sought an opinion from the legal advisor and sought instructions from the higher authorities vide letterdated……..</w:t>
      </w:r>
    </w:p>
    <w:p>
      <w:pPr>
        <w:numPr>
          <w:ilvl w:val="0"/>
          <w:numId w:val="1"/>
        </w:numPr>
        <w:spacing w:before="0" w:after="200" w:line="276"/>
        <w:ind w:right="0" w:left="720" w:hanging="360"/>
        <w:jc w:val="both"/>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In reply to the objection of the petitioner that the respondents did not take any action on the memo dated 07.08.2015 issued by the chief General Manager, comercial, TSSPDCL in pursuance of the representation of the petitioner dated 03.08.2015 to the Chairman and Managaing Director of the Telelangana State Southern Power Distribution Company Ltd, it is to submit that the respondents hereunder has submitted a detailed report on 12.08.2015 itself.</w:t>
      </w:r>
    </w:p>
    <w:p>
      <w:pPr>
        <w:numPr>
          <w:ilvl w:val="0"/>
          <w:numId w:val="1"/>
        </w:numPr>
        <w:spacing w:before="0" w:after="200" w:line="276"/>
        <w:ind w:right="0" w:left="720" w:hanging="360"/>
        <w:jc w:val="both"/>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Based on the report submitted by the respondents hereunder, the management has taken a decision to file an appeal against the orders of the Hon High Court dated 21.07.2015 as the orders of the Hon High court have much revenue impact on the respondents company.</w:t>
      </w:r>
    </w:p>
    <w:p>
      <w:pPr>
        <w:numPr>
          <w:ilvl w:val="0"/>
          <w:numId w:val="1"/>
        </w:numPr>
        <w:spacing w:before="0" w:after="200" w:line="276"/>
        <w:ind w:right="0" w:left="720" w:hanging="360"/>
        <w:jc w:val="both"/>
        <w:rPr>
          <w:rFonts w:ascii="Bookman Old Style" w:hAnsi="Bookman Old Style" w:cs="Bookman Old Style" w:eastAsia="Bookman Old Style"/>
          <w:color w:val="auto"/>
          <w:spacing w:val="0"/>
          <w:position w:val="0"/>
          <w:sz w:val="24"/>
          <w:shd w:fill="auto" w:val="clear"/>
        </w:rPr>
      </w:pPr>
      <w:r>
        <w:rPr>
          <w:rFonts w:ascii="Bookman Old Style" w:hAnsi="Bookman Old Style" w:cs="Bookman Old Style" w:eastAsia="Bookman Old Style"/>
          <w:color w:val="auto"/>
          <w:spacing w:val="0"/>
          <w:position w:val="0"/>
          <w:sz w:val="24"/>
          <w:shd w:fill="auto" w:val="clear"/>
        </w:rPr>
        <w:t xml:space="preserve">Aggrieved by the orders dated 21.07.2015, the respondents hereunder have filed WA No. ………. Of 2015 and the same is pending before this Hon Court.</w:t>
      </w:r>
    </w:p>
    <w:p>
      <w:pPr>
        <w:numPr>
          <w:ilvl w:val="0"/>
          <w:numId w:val="1"/>
        </w:numPr>
        <w:spacing w:before="0" w:after="200" w:line="276"/>
        <w:ind w:right="0" w:left="720" w:hanging="360"/>
        <w:jc w:val="both"/>
        <w:rPr>
          <w:rFonts w:ascii="Bookman Old Style" w:hAnsi="Bookman Old Style" w:cs="Bookman Old Style" w:eastAsia="Bookman Old Style"/>
          <w:color w:val="auto"/>
          <w:spacing w:val="0"/>
          <w:position w:val="0"/>
          <w:sz w:val="24"/>
          <w:shd w:fill="auto" w:val="clear"/>
        </w:rPr>
      </w:pPr>
      <w:r>
        <w:rPr>
          <w:rFonts w:ascii="Calibri" w:hAnsi="Calibri" w:cs="Calibri" w:eastAsia="Calibri"/>
          <w:color w:val="auto"/>
          <w:spacing w:val="0"/>
          <w:position w:val="0"/>
          <w:sz w:val="22"/>
          <w:shd w:fill="auto" w:val="clear"/>
        </w:rPr>
        <w:t xml:space="preserve">Therefore once appeal is filed, the order looses its finality, as the order under appeal is in jeopardy. Therefore irrespective of the fact whether or not interim orders passed by Appellate Court, the order of APTEL dt.22.07.2011 in Appeal No. 12 of 2011 since been ordered to examine the merits by Hon’ble Supreme Court, ought not to have been acted upon. The view is fructified by the 3 principle of law laid down by Hon’ble Supreme Court in West Coast Paper Mills case reported at 2004 (ii) SCC at page 747</w:t>
      </w:r>
    </w:p>
  </w:body>
</w:document>
</file>

<file path=word/numbering.xml><?xml version="1.0" encoding="utf-8"?>
<w:numbering xmlns:w="http://schemas.openxmlformats.org/wordprocessingml/2006/main">
  <w:abstractNum w:abstractNumId="0">
    <w:lvl w:ilvl="0">
      <w:start w:val="1"/>
      <w:numFmt w:val="bullet"/>
      <w:lvlText w:val="•"/>
    </w:lvl>
  </w:abstractNum>
  <w:num w:numId="1">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