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28328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 xml:space="preserve">filed by </w:t>
      </w:r>
      <w:r>
        <w:rPr>
          <w:rFonts w:ascii="Calisto MT" w:hAnsi="Calisto MT"/>
          <w:lang w:val="en-US"/>
        </w:rPr>
        <w:t xml:space="preserve">Keshree Metallurgies </w:t>
      </w:r>
      <w:bookmarkStart w:id="0" w:name="_GoBack"/>
      <w:bookmarkEnd w:id="0"/>
      <w:r>
        <w:rPr>
          <w:rFonts w:ascii="Calisto MT" w:hAnsi="Calisto MT"/>
          <w:lang w:val="en-US"/>
        </w:rPr>
        <w:t xml:space="preserve"> ltd.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1983E42"/>
    <w:rsid w:val="0B8A17BF"/>
    <w:rsid w:val="0C5972EF"/>
    <w:rsid w:val="11634F18"/>
    <w:rsid w:val="13A312BE"/>
    <w:rsid w:val="141973B8"/>
    <w:rsid w:val="19594E8F"/>
    <w:rsid w:val="1CF416B2"/>
    <w:rsid w:val="2134796D"/>
    <w:rsid w:val="248B38B5"/>
    <w:rsid w:val="42C529F8"/>
    <w:rsid w:val="4ADF78CC"/>
    <w:rsid w:val="504F2B7C"/>
    <w:rsid w:val="5403003D"/>
    <w:rsid w:val="6DDF54BF"/>
    <w:rsid w:val="721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71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2019-05-24T06:38:33Z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