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C513B5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B041E4">
        <w:rPr>
          <w:b w:val="0"/>
          <w:bCs w:val="0"/>
          <w:sz w:val="28"/>
          <w:szCs w:val="28"/>
        </w:rPr>
        <w:t>Banjarahills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C513B5">
        <w:rPr>
          <w:b w:val="0"/>
          <w:bCs w:val="0"/>
          <w:sz w:val="28"/>
          <w:szCs w:val="28"/>
        </w:rPr>
        <w:t xml:space="preserve">WP 6411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C513B5" w:rsidRPr="00C513B5">
        <w:rPr>
          <w:b w:val="0"/>
          <w:bCs w:val="0"/>
          <w:sz w:val="28"/>
          <w:szCs w:val="28"/>
        </w:rPr>
        <w:t>Ms. GAR Corporation Private Limited</w:t>
      </w:r>
      <w:r w:rsidR="00C513B5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03916"/>
    <w:rsid w:val="00925893"/>
    <w:rsid w:val="009B196A"/>
    <w:rsid w:val="00A5698F"/>
    <w:rsid w:val="00B041E4"/>
    <w:rsid w:val="00C1710F"/>
    <w:rsid w:val="00C513B5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2021-06-24T06:39:00Z</dcterms:created>
  <dcterms:modified xsi:type="dcterms:W3CDTF">2021-06-26T10:08:00Z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