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81D" w:rsidRPr="002A1526" w:rsidRDefault="0002781D" w:rsidP="0002781D">
      <w:pPr>
        <w:pStyle w:val="Body"/>
        <w:spacing w:line="360" w:lineRule="auto"/>
        <w:jc w:val="center"/>
        <w:outlineLvl w:val="0"/>
        <w:rPr>
          <w:smallCaps/>
        </w:rPr>
      </w:pPr>
      <w:r w:rsidRPr="002A1526">
        <w:rPr>
          <w:smallCaps/>
        </w:rPr>
        <w:t xml:space="preserve">IN THE HIGH </w:t>
      </w:r>
      <w:proofErr w:type="gramStart"/>
      <w:r w:rsidRPr="002A1526">
        <w:rPr>
          <w:smallCaps/>
        </w:rPr>
        <w:t>COURT  FOR</w:t>
      </w:r>
      <w:proofErr w:type="gramEnd"/>
      <w:r w:rsidRPr="002A1526">
        <w:rPr>
          <w:smallCaps/>
        </w:rPr>
        <w:t xml:space="preserve"> THE STATE OF TELANGANA</w:t>
      </w:r>
    </w:p>
    <w:p w:rsidR="0002781D" w:rsidRPr="002A1526" w:rsidRDefault="0002781D" w:rsidP="0002781D">
      <w:pPr>
        <w:pStyle w:val="Body"/>
        <w:spacing w:line="360" w:lineRule="auto"/>
        <w:jc w:val="center"/>
        <w:outlineLvl w:val="0"/>
        <w:rPr>
          <w:smallCaps/>
        </w:rPr>
      </w:pPr>
      <w:r w:rsidRPr="002A1526">
        <w:rPr>
          <w:smallCaps/>
          <w:lang w:val="de-DE"/>
        </w:rPr>
        <w:t>AT HYDERABAD</w:t>
      </w:r>
    </w:p>
    <w:p w:rsidR="0002781D" w:rsidRPr="002A1526" w:rsidRDefault="0072321E" w:rsidP="0002781D">
      <w:pPr>
        <w:pStyle w:val="Body"/>
        <w:spacing w:line="360" w:lineRule="auto"/>
        <w:jc w:val="center"/>
        <w:outlineLvl w:val="0"/>
        <w:rPr>
          <w:smallCaps/>
        </w:rPr>
      </w:pPr>
      <w:r>
        <w:rPr>
          <w:smallCaps/>
        </w:rPr>
        <w:br/>
      </w:r>
      <w:proofErr w:type="gramStart"/>
      <w:r>
        <w:rPr>
          <w:smallCaps/>
        </w:rPr>
        <w:t>W</w:t>
      </w:r>
      <w:r w:rsidR="0002781D" w:rsidRPr="002A1526">
        <w:rPr>
          <w:smallCaps/>
        </w:rPr>
        <w:t>A  No</w:t>
      </w:r>
      <w:proofErr w:type="gramEnd"/>
      <w:r w:rsidR="0002781D" w:rsidRPr="002A1526">
        <w:rPr>
          <w:smallCaps/>
        </w:rPr>
        <w:t>.                       OF 2021</w:t>
      </w:r>
    </w:p>
    <w:p w:rsidR="0002781D" w:rsidRPr="002A1526" w:rsidRDefault="0002781D" w:rsidP="0002781D">
      <w:pPr>
        <w:pStyle w:val="Body"/>
        <w:spacing w:line="360" w:lineRule="auto"/>
        <w:jc w:val="center"/>
        <w:outlineLvl w:val="0"/>
        <w:rPr>
          <w:smallCaps/>
        </w:rPr>
      </w:pPr>
      <w:r w:rsidRPr="002A1526">
        <w:rPr>
          <w:smallCaps/>
          <w:lang w:val="de-DE"/>
        </w:rPr>
        <w:t xml:space="preserve">IN </w:t>
      </w:r>
    </w:p>
    <w:p w:rsidR="0002781D" w:rsidRDefault="0072321E" w:rsidP="0002781D">
      <w:pPr>
        <w:pStyle w:val="Body"/>
        <w:jc w:val="center"/>
        <w:rPr>
          <w:smallCaps/>
        </w:rPr>
      </w:pPr>
      <w:proofErr w:type="gramStart"/>
      <w:r>
        <w:rPr>
          <w:smallCaps/>
        </w:rPr>
        <w:t>WP</w:t>
      </w:r>
      <w:r w:rsidR="0002781D" w:rsidRPr="002A1526">
        <w:rPr>
          <w:smallCaps/>
        </w:rPr>
        <w:t xml:space="preserve"> .</w:t>
      </w:r>
      <w:proofErr w:type="gramEnd"/>
      <w:r w:rsidR="0002781D" w:rsidRPr="002A1526">
        <w:rPr>
          <w:smallCaps/>
        </w:rPr>
        <w:t xml:space="preserve">  No. </w:t>
      </w:r>
      <w:r w:rsidR="00FE27DA">
        <w:rPr>
          <w:smallCaps/>
        </w:rPr>
        <w:t xml:space="preserve">               </w:t>
      </w:r>
      <w:r w:rsidR="00DB5483">
        <w:rPr>
          <w:smallCaps/>
        </w:rPr>
        <w:t xml:space="preserve">   of 20</w:t>
      </w:r>
      <w:bookmarkStart w:id="0" w:name="_GoBack"/>
      <w:bookmarkEnd w:id="0"/>
    </w:p>
    <w:p w:rsidR="002A1526" w:rsidRPr="002A1526" w:rsidRDefault="002A1526" w:rsidP="0002781D">
      <w:pPr>
        <w:pStyle w:val="Body"/>
        <w:jc w:val="center"/>
        <w:rPr>
          <w:smallCaps/>
        </w:rPr>
      </w:pPr>
    </w:p>
    <w:p w:rsidR="0002781D" w:rsidRPr="002A1526" w:rsidRDefault="0002781D" w:rsidP="0002781D">
      <w:pPr>
        <w:pStyle w:val="Body"/>
        <w:jc w:val="center"/>
        <w:rPr>
          <w:smallCaps/>
        </w:rPr>
      </w:pPr>
    </w:p>
    <w:p w:rsidR="0002781D" w:rsidRPr="002A1526" w:rsidRDefault="0002781D" w:rsidP="0002781D">
      <w:pPr>
        <w:pStyle w:val="Body"/>
        <w:jc w:val="center"/>
        <w:rPr>
          <w:b/>
          <w:smallCaps/>
          <w:u w:val="single"/>
        </w:rPr>
      </w:pPr>
      <w:r w:rsidRPr="002A1526">
        <w:rPr>
          <w:b/>
          <w:smallCaps/>
          <w:u w:val="single"/>
        </w:rPr>
        <w:t>CHRONOLOGICAL EVENTS</w:t>
      </w:r>
    </w:p>
    <w:p w:rsidR="0002781D" w:rsidRDefault="0002781D" w:rsidP="0002781D">
      <w:pPr>
        <w:pStyle w:val="Body"/>
        <w:jc w:val="center"/>
        <w:rPr>
          <w:smallCaps/>
        </w:rPr>
      </w:pPr>
    </w:p>
    <w:p w:rsidR="002A1526" w:rsidRPr="002A1526" w:rsidRDefault="002A1526" w:rsidP="0002781D">
      <w:pPr>
        <w:pStyle w:val="Body"/>
        <w:jc w:val="center"/>
        <w:rPr>
          <w:smallCap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1309"/>
        <w:gridCol w:w="6016"/>
        <w:gridCol w:w="1638"/>
      </w:tblGrid>
      <w:tr w:rsidR="00C60445" w:rsidRPr="002A1526" w:rsidTr="00C60445">
        <w:tc>
          <w:tcPr>
            <w:tcW w:w="613" w:type="dxa"/>
          </w:tcPr>
          <w:p w:rsidR="00C60445" w:rsidRPr="002A1526" w:rsidRDefault="00C60445" w:rsidP="0002781D">
            <w:pPr>
              <w:pStyle w:val="Body"/>
              <w:jc w:val="center"/>
              <w:rPr>
                <w:smallCaps/>
              </w:rPr>
            </w:pPr>
            <w:r w:rsidRPr="002A1526">
              <w:rPr>
                <w:smallCaps/>
              </w:rPr>
              <w:t>s. No.</w:t>
            </w:r>
          </w:p>
        </w:tc>
        <w:tc>
          <w:tcPr>
            <w:tcW w:w="1309" w:type="dxa"/>
          </w:tcPr>
          <w:p w:rsidR="00C60445" w:rsidRPr="002A1526" w:rsidRDefault="00C60445" w:rsidP="0002781D">
            <w:pPr>
              <w:pStyle w:val="Body"/>
              <w:jc w:val="center"/>
              <w:rPr>
                <w:smallCaps/>
              </w:rPr>
            </w:pPr>
            <w:r w:rsidRPr="002A1526">
              <w:rPr>
                <w:smallCaps/>
              </w:rPr>
              <w:t>date of events</w:t>
            </w:r>
          </w:p>
        </w:tc>
        <w:tc>
          <w:tcPr>
            <w:tcW w:w="6016" w:type="dxa"/>
          </w:tcPr>
          <w:p w:rsidR="00C60445" w:rsidRPr="002A1526" w:rsidRDefault="00C60445" w:rsidP="0002781D">
            <w:pPr>
              <w:pStyle w:val="Body"/>
              <w:jc w:val="center"/>
              <w:rPr>
                <w:smallCaps/>
              </w:rPr>
            </w:pPr>
            <w:r w:rsidRPr="002A1526">
              <w:rPr>
                <w:smallCaps/>
              </w:rPr>
              <w:t>description</w:t>
            </w:r>
          </w:p>
        </w:tc>
        <w:tc>
          <w:tcPr>
            <w:tcW w:w="1638" w:type="dxa"/>
          </w:tcPr>
          <w:p w:rsidR="00C60445" w:rsidRPr="00C60445" w:rsidRDefault="00C60445" w:rsidP="0002781D">
            <w:pPr>
              <w:pStyle w:val="Body"/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P</w:t>
            </w:r>
            <w:r w:rsidRPr="00C60445">
              <w:rPr>
                <w:smallCaps/>
                <w:sz w:val="22"/>
                <w:szCs w:val="22"/>
              </w:rPr>
              <w:t>AGE NO.</w:t>
            </w:r>
          </w:p>
        </w:tc>
      </w:tr>
      <w:tr w:rsidR="00C60445" w:rsidRPr="002A1526" w:rsidTr="00C60445">
        <w:tc>
          <w:tcPr>
            <w:tcW w:w="613" w:type="dxa"/>
          </w:tcPr>
          <w:p w:rsidR="00C60445" w:rsidRPr="002A1526" w:rsidRDefault="00C60445" w:rsidP="0002781D">
            <w:pPr>
              <w:pStyle w:val="Body"/>
              <w:jc w:val="center"/>
              <w:rPr>
                <w:smallCaps/>
              </w:rPr>
            </w:pPr>
            <w:r w:rsidRPr="002A1526">
              <w:rPr>
                <w:smallCaps/>
              </w:rPr>
              <w:t>1.</w:t>
            </w:r>
          </w:p>
        </w:tc>
        <w:tc>
          <w:tcPr>
            <w:tcW w:w="1309" w:type="dxa"/>
          </w:tcPr>
          <w:p w:rsidR="00C60445" w:rsidRPr="002A1526" w:rsidRDefault="00C60445" w:rsidP="0002781D">
            <w:pPr>
              <w:pStyle w:val="Body"/>
              <w:jc w:val="center"/>
              <w:rPr>
                <w:smallCaps/>
              </w:rPr>
            </w:pPr>
          </w:p>
        </w:tc>
        <w:tc>
          <w:tcPr>
            <w:tcW w:w="6016" w:type="dxa"/>
          </w:tcPr>
          <w:p w:rsidR="00C60445" w:rsidRPr="002A1526" w:rsidRDefault="00DB5483" w:rsidP="00FE27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Appellant is a Distribution C</w:t>
            </w:r>
            <w:r w:rsidR="00FE27DA">
              <w:rPr>
                <w:rFonts w:ascii="Times New Roman" w:hAnsi="Times New Roman" w:cs="Times New Roman"/>
                <w:sz w:val="24"/>
                <w:szCs w:val="24"/>
              </w:rPr>
              <w:t>ompany established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 S</w:t>
            </w:r>
            <w:r w:rsidR="00FE27DA">
              <w:rPr>
                <w:rFonts w:ascii="Times New Roman" w:hAnsi="Times New Roman" w:cs="Times New Roman"/>
                <w:sz w:val="24"/>
                <w:szCs w:val="24"/>
              </w:rPr>
              <w:t xml:space="preserve">tate Government to provide distribution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  <w:r w:rsidR="00FE27DA">
              <w:rPr>
                <w:rFonts w:ascii="Times New Roman" w:hAnsi="Times New Roman" w:cs="Times New Roman"/>
                <w:sz w:val="24"/>
                <w:szCs w:val="24"/>
              </w:rPr>
              <w:t xml:space="preserve"> and sell power to the citizens at large </w:t>
            </w:r>
            <w:proofErr w:type="gramStart"/>
            <w:r w:rsidR="00FE27DA">
              <w:rPr>
                <w:rFonts w:ascii="Times New Roman" w:hAnsi="Times New Roman" w:cs="Times New Roman"/>
                <w:sz w:val="24"/>
                <w:szCs w:val="24"/>
              </w:rPr>
              <w:t>on  “</w:t>
            </w:r>
            <w:proofErr w:type="gramEnd"/>
            <w:r w:rsidR="00FE27DA">
              <w:rPr>
                <w:rFonts w:ascii="Times New Roman" w:hAnsi="Times New Roman" w:cs="Times New Roman"/>
                <w:sz w:val="24"/>
                <w:szCs w:val="24"/>
              </w:rPr>
              <w:t>No loss No Profit” basis.</w:t>
            </w:r>
          </w:p>
        </w:tc>
        <w:tc>
          <w:tcPr>
            <w:tcW w:w="1638" w:type="dxa"/>
          </w:tcPr>
          <w:p w:rsidR="00C60445" w:rsidRPr="002A1526" w:rsidRDefault="00C60445" w:rsidP="00C6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445" w:rsidRPr="002A1526" w:rsidTr="00C60445">
        <w:tc>
          <w:tcPr>
            <w:tcW w:w="613" w:type="dxa"/>
          </w:tcPr>
          <w:p w:rsidR="00C60445" w:rsidRPr="002A1526" w:rsidRDefault="00C60445" w:rsidP="0002781D">
            <w:pPr>
              <w:pStyle w:val="Body"/>
              <w:jc w:val="center"/>
              <w:rPr>
                <w:smallCaps/>
              </w:rPr>
            </w:pPr>
            <w:r w:rsidRPr="002A1526">
              <w:rPr>
                <w:smallCaps/>
              </w:rPr>
              <w:t xml:space="preserve">2. </w:t>
            </w:r>
          </w:p>
        </w:tc>
        <w:tc>
          <w:tcPr>
            <w:tcW w:w="1309" w:type="dxa"/>
          </w:tcPr>
          <w:p w:rsidR="00C60445" w:rsidRPr="002A1526" w:rsidRDefault="00C60445" w:rsidP="0002781D">
            <w:pPr>
              <w:pStyle w:val="Body"/>
              <w:jc w:val="center"/>
              <w:rPr>
                <w:smallCaps/>
              </w:rPr>
            </w:pPr>
          </w:p>
        </w:tc>
        <w:tc>
          <w:tcPr>
            <w:tcW w:w="6016" w:type="dxa"/>
          </w:tcPr>
          <w:p w:rsidR="00C60445" w:rsidRPr="002A1526" w:rsidRDefault="00FE27DA" w:rsidP="00DB5483">
            <w:r>
              <w:t xml:space="preserve">Section 42(2) of Electricity Act 2003 enables the willing consumer </w:t>
            </w:r>
            <w:r w:rsidR="00DB5483">
              <w:t>t</w:t>
            </w:r>
            <w:r>
              <w:t xml:space="preserve">o avail open access i.e.to purchase power from other then the distribution licensee on payment of </w:t>
            </w:r>
            <w:proofErr w:type="gramStart"/>
            <w:r>
              <w:t>surcharge .</w:t>
            </w:r>
            <w:proofErr w:type="gramEnd"/>
          </w:p>
        </w:tc>
        <w:tc>
          <w:tcPr>
            <w:tcW w:w="1638" w:type="dxa"/>
          </w:tcPr>
          <w:p w:rsidR="00C60445" w:rsidRPr="002A1526" w:rsidRDefault="00C60445" w:rsidP="00C60445">
            <w:pPr>
              <w:pStyle w:val="Body"/>
              <w:jc w:val="center"/>
            </w:pPr>
          </w:p>
        </w:tc>
      </w:tr>
      <w:tr w:rsidR="00C60445" w:rsidRPr="002A1526" w:rsidTr="00C60445">
        <w:trPr>
          <w:trHeight w:val="60"/>
        </w:trPr>
        <w:tc>
          <w:tcPr>
            <w:tcW w:w="613" w:type="dxa"/>
          </w:tcPr>
          <w:p w:rsidR="00C60445" w:rsidRPr="002A1526" w:rsidRDefault="00C60445" w:rsidP="0002781D">
            <w:pPr>
              <w:pStyle w:val="Body"/>
              <w:jc w:val="center"/>
              <w:rPr>
                <w:smallCaps/>
              </w:rPr>
            </w:pPr>
            <w:r w:rsidRPr="002A1526">
              <w:rPr>
                <w:smallCaps/>
              </w:rPr>
              <w:t>3.</w:t>
            </w:r>
          </w:p>
        </w:tc>
        <w:tc>
          <w:tcPr>
            <w:tcW w:w="1309" w:type="dxa"/>
          </w:tcPr>
          <w:p w:rsidR="00C60445" w:rsidRPr="002A1526" w:rsidRDefault="00C60445" w:rsidP="0002781D">
            <w:pPr>
              <w:pStyle w:val="Body"/>
              <w:jc w:val="center"/>
              <w:rPr>
                <w:smallCaps/>
              </w:rPr>
            </w:pPr>
          </w:p>
        </w:tc>
        <w:tc>
          <w:tcPr>
            <w:tcW w:w="6016" w:type="dxa"/>
          </w:tcPr>
          <w:p w:rsidR="00C60445" w:rsidRPr="002A1526" w:rsidRDefault="00FE27DA" w:rsidP="00DB54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Telangana state Electricity commission is empowered under section 62 of the Electricity </w:t>
            </w:r>
            <w:r w:rsidR="00DB54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ct 2003</w:t>
            </w:r>
            <w:r w:rsidR="00DB5483">
              <w:rPr>
                <w:rFonts w:ascii="Times New Roman" w:hAnsi="Times New Roman" w:cs="Times New Roman"/>
                <w:sz w:val="24"/>
                <w:szCs w:val="24"/>
              </w:rPr>
              <w:t xml:space="preserve"> to determine the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ariff and the same has to</w:t>
            </w:r>
            <w:r w:rsidR="00DB5483">
              <w:rPr>
                <w:rFonts w:ascii="Times New Roman" w:hAnsi="Times New Roman" w:cs="Times New Roman"/>
                <w:sz w:val="24"/>
                <w:szCs w:val="24"/>
              </w:rPr>
              <w:t xml:space="preserve"> 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collected from the consumers by the </w:t>
            </w:r>
            <w:proofErr w:type="spellStart"/>
            <w:r w:rsidR="00DB548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iscoms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8" w:type="dxa"/>
          </w:tcPr>
          <w:p w:rsidR="00C60445" w:rsidRPr="002A1526" w:rsidRDefault="00C60445" w:rsidP="00723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445" w:rsidRPr="002A1526" w:rsidTr="00C60445">
        <w:tc>
          <w:tcPr>
            <w:tcW w:w="613" w:type="dxa"/>
          </w:tcPr>
          <w:p w:rsidR="00C60445" w:rsidRPr="002A1526" w:rsidRDefault="00C60445" w:rsidP="0002781D">
            <w:pPr>
              <w:pStyle w:val="Body"/>
              <w:jc w:val="center"/>
              <w:rPr>
                <w:smallCaps/>
              </w:rPr>
            </w:pPr>
            <w:r w:rsidRPr="002A1526">
              <w:rPr>
                <w:smallCaps/>
              </w:rPr>
              <w:t>4.</w:t>
            </w:r>
          </w:p>
        </w:tc>
        <w:tc>
          <w:tcPr>
            <w:tcW w:w="1309" w:type="dxa"/>
          </w:tcPr>
          <w:p w:rsidR="00C60445" w:rsidRPr="002A1526" w:rsidRDefault="00C60445" w:rsidP="0002781D">
            <w:pPr>
              <w:pStyle w:val="Body"/>
              <w:jc w:val="center"/>
              <w:rPr>
                <w:smallCaps/>
              </w:rPr>
            </w:pPr>
          </w:p>
        </w:tc>
        <w:tc>
          <w:tcPr>
            <w:tcW w:w="6016" w:type="dxa"/>
          </w:tcPr>
          <w:p w:rsidR="00C60445" w:rsidRPr="002A1526" w:rsidRDefault="00FE27DA" w:rsidP="002A1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contemplated under sec.64 of the Electricity Act 2003 the appellant has field the </w:t>
            </w:r>
            <w:r w:rsidR="00DB5483">
              <w:rPr>
                <w:rFonts w:ascii="Times New Roman" w:hAnsi="Times New Roman" w:cs="Times New Roman"/>
                <w:sz w:val="24"/>
                <w:szCs w:val="24"/>
              </w:rPr>
              <w:t>Aggregate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Revenue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  <w:r w:rsidR="00DB548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DB5483">
              <w:rPr>
                <w:rFonts w:ascii="Times New Roman" w:hAnsi="Times New Roman" w:cs="Times New Roman"/>
                <w:sz w:val="24"/>
                <w:szCs w:val="24"/>
              </w:rPr>
              <w:t>ARR)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Tariff proposals before the TSERC for the year 2015-16 including the cross subsidy surcharge.</w:t>
            </w:r>
          </w:p>
        </w:tc>
        <w:tc>
          <w:tcPr>
            <w:tcW w:w="1638" w:type="dxa"/>
          </w:tcPr>
          <w:p w:rsidR="00C60445" w:rsidRPr="002A1526" w:rsidRDefault="00C60445" w:rsidP="00C6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445" w:rsidRPr="002A1526" w:rsidTr="00C60445">
        <w:tc>
          <w:tcPr>
            <w:tcW w:w="613" w:type="dxa"/>
          </w:tcPr>
          <w:p w:rsidR="00C60445" w:rsidRPr="002A1526" w:rsidRDefault="00C60445" w:rsidP="0002781D">
            <w:pPr>
              <w:pStyle w:val="Body"/>
              <w:jc w:val="center"/>
              <w:rPr>
                <w:smallCaps/>
              </w:rPr>
            </w:pPr>
            <w:r w:rsidRPr="002A1526">
              <w:rPr>
                <w:smallCaps/>
              </w:rPr>
              <w:t>5.</w:t>
            </w:r>
          </w:p>
        </w:tc>
        <w:tc>
          <w:tcPr>
            <w:tcW w:w="1309" w:type="dxa"/>
          </w:tcPr>
          <w:p w:rsidR="00C60445" w:rsidRPr="002A1526" w:rsidRDefault="00C60445" w:rsidP="0002781D">
            <w:pPr>
              <w:pStyle w:val="Body"/>
              <w:jc w:val="center"/>
              <w:rPr>
                <w:smallCaps/>
              </w:rPr>
            </w:pPr>
          </w:p>
        </w:tc>
        <w:tc>
          <w:tcPr>
            <w:tcW w:w="6016" w:type="dxa"/>
          </w:tcPr>
          <w:p w:rsidR="00DB5483" w:rsidRDefault="00FE27DA" w:rsidP="002A1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appellant </w:t>
            </w:r>
            <w:r w:rsidR="00DB5483">
              <w:rPr>
                <w:rFonts w:ascii="Times New Roman" w:hAnsi="Times New Roman" w:cs="Times New Roman"/>
                <w:sz w:val="24"/>
                <w:szCs w:val="24"/>
              </w:rPr>
              <w:t xml:space="preserve">proposed cross subsidy surcharge at Rs.1.13paise for 11 </w:t>
            </w:r>
            <w:proofErr w:type="spellStart"/>
            <w:r w:rsidR="00DB5483">
              <w:rPr>
                <w:rFonts w:ascii="Times New Roman" w:hAnsi="Times New Roman" w:cs="Times New Roman"/>
                <w:sz w:val="24"/>
                <w:szCs w:val="24"/>
              </w:rPr>
              <w:t>kv</w:t>
            </w:r>
            <w:proofErr w:type="spellEnd"/>
            <w:r w:rsidR="00DB54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DB5483" w:rsidRDefault="00DB5483" w:rsidP="002A1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5483" w:rsidRDefault="00DB5483" w:rsidP="002A1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Rs.0.30paise for 33kv,</w:t>
            </w:r>
          </w:p>
          <w:p w:rsidR="00DB5483" w:rsidRDefault="00DB5483" w:rsidP="002A1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0445" w:rsidRPr="002A1526" w:rsidRDefault="00DB5483" w:rsidP="002A1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Rs0.11paise for 132kv.</w:t>
            </w:r>
          </w:p>
        </w:tc>
        <w:tc>
          <w:tcPr>
            <w:tcW w:w="1638" w:type="dxa"/>
          </w:tcPr>
          <w:p w:rsidR="00C60445" w:rsidRPr="002A1526" w:rsidRDefault="00C60445" w:rsidP="00C6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445" w:rsidRPr="002A1526" w:rsidTr="00C60445">
        <w:tc>
          <w:tcPr>
            <w:tcW w:w="613" w:type="dxa"/>
          </w:tcPr>
          <w:p w:rsidR="00C60445" w:rsidRPr="002A1526" w:rsidRDefault="00C60445" w:rsidP="0002781D">
            <w:pPr>
              <w:pStyle w:val="Body"/>
              <w:jc w:val="center"/>
              <w:rPr>
                <w:smallCaps/>
              </w:rPr>
            </w:pPr>
            <w:r w:rsidRPr="002A1526">
              <w:rPr>
                <w:smallCaps/>
              </w:rPr>
              <w:t>6.</w:t>
            </w:r>
          </w:p>
        </w:tc>
        <w:tc>
          <w:tcPr>
            <w:tcW w:w="1309" w:type="dxa"/>
          </w:tcPr>
          <w:p w:rsidR="00C60445" w:rsidRPr="002A1526" w:rsidRDefault="00C60445" w:rsidP="0002781D">
            <w:pPr>
              <w:pStyle w:val="Body"/>
              <w:jc w:val="center"/>
              <w:rPr>
                <w:smallCaps/>
              </w:rPr>
            </w:pPr>
          </w:p>
        </w:tc>
        <w:tc>
          <w:tcPr>
            <w:tcW w:w="6016" w:type="dxa"/>
          </w:tcPr>
          <w:p w:rsidR="00DB5483" w:rsidRDefault="00DB5483" w:rsidP="002A1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TSERC fixed the cross subsidy surcharge at </w:t>
            </w:r>
          </w:p>
          <w:p w:rsidR="00DB5483" w:rsidRDefault="00DB5483" w:rsidP="002A1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5483" w:rsidRDefault="00DB5483" w:rsidP="002A1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Rs.2.07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paise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DB5483" w:rsidRDefault="00DB5483" w:rsidP="002A1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5483" w:rsidRDefault="00DB5483" w:rsidP="002A1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Rs.1.29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paise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33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 </w:t>
            </w:r>
          </w:p>
          <w:p w:rsidR="00DB5483" w:rsidRDefault="00DB5483" w:rsidP="002A1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0445" w:rsidRPr="002A1526" w:rsidRDefault="00DB5483" w:rsidP="002A1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Rs.0.93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paise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132kv.</w:t>
            </w:r>
          </w:p>
        </w:tc>
        <w:tc>
          <w:tcPr>
            <w:tcW w:w="1638" w:type="dxa"/>
          </w:tcPr>
          <w:p w:rsidR="00C60445" w:rsidRPr="002A1526" w:rsidRDefault="00C60445" w:rsidP="00C6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445" w:rsidRPr="002A1526" w:rsidTr="00C60445">
        <w:tc>
          <w:tcPr>
            <w:tcW w:w="613" w:type="dxa"/>
          </w:tcPr>
          <w:p w:rsidR="00C60445" w:rsidRPr="002A1526" w:rsidRDefault="00C60445" w:rsidP="0002781D">
            <w:pPr>
              <w:pStyle w:val="Body"/>
              <w:jc w:val="center"/>
              <w:rPr>
                <w:smallCaps/>
              </w:rPr>
            </w:pPr>
            <w:r>
              <w:rPr>
                <w:smallCaps/>
              </w:rPr>
              <w:t>12.</w:t>
            </w:r>
          </w:p>
        </w:tc>
        <w:tc>
          <w:tcPr>
            <w:tcW w:w="1309" w:type="dxa"/>
          </w:tcPr>
          <w:p w:rsidR="00C60445" w:rsidRPr="002A1526" w:rsidRDefault="00C60445" w:rsidP="0002781D">
            <w:pPr>
              <w:pStyle w:val="Body"/>
              <w:jc w:val="center"/>
              <w:rPr>
                <w:smallCaps/>
              </w:rPr>
            </w:pPr>
          </w:p>
        </w:tc>
        <w:tc>
          <w:tcPr>
            <w:tcW w:w="6016" w:type="dxa"/>
          </w:tcPr>
          <w:p w:rsidR="00C60445" w:rsidRPr="002A1526" w:rsidRDefault="00C60445" w:rsidP="00DB54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Aggrieved by the orders dated</w:t>
            </w:r>
            <w:r w:rsidR="00DB5483">
              <w:rPr>
                <w:rFonts w:ascii="Times New Roman" w:hAnsi="Times New Roman" w:cs="Times New Roman"/>
                <w:sz w:val="24"/>
                <w:szCs w:val="24"/>
              </w:rPr>
              <w:t xml:space="preserve">: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allowing the Writ Petitions, the present Writ Appeal is filed.  </w:t>
            </w:r>
          </w:p>
        </w:tc>
        <w:tc>
          <w:tcPr>
            <w:tcW w:w="1638" w:type="dxa"/>
          </w:tcPr>
          <w:p w:rsidR="00C60445" w:rsidRDefault="00C60445" w:rsidP="00C6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781D" w:rsidRDefault="0002781D" w:rsidP="0002781D">
      <w:pPr>
        <w:pStyle w:val="Body"/>
        <w:jc w:val="center"/>
        <w:rPr>
          <w:smallCaps/>
        </w:rPr>
      </w:pPr>
    </w:p>
    <w:p w:rsidR="00C60445" w:rsidRPr="002A1526" w:rsidRDefault="00C60445" w:rsidP="0002781D">
      <w:pPr>
        <w:pStyle w:val="Body"/>
        <w:jc w:val="center"/>
        <w:rPr>
          <w:smallCaps/>
        </w:rPr>
      </w:pPr>
    </w:p>
    <w:p w:rsidR="003D4D15" w:rsidRDefault="003D4D15">
      <w:pPr>
        <w:rPr>
          <w:rFonts w:ascii="Times New Roman" w:hAnsi="Times New Roman" w:cs="Times New Roman"/>
          <w:sz w:val="24"/>
          <w:szCs w:val="24"/>
        </w:rPr>
      </w:pPr>
    </w:p>
    <w:p w:rsidR="00C60445" w:rsidRPr="002A1526" w:rsidRDefault="00C60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   -0</w:t>
      </w:r>
      <w:r w:rsidR="00DB548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-2021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Counsel for Appellants/ Petitioners</w:t>
      </w:r>
    </w:p>
    <w:sectPr w:rsidR="00C60445" w:rsidRPr="002A1526" w:rsidSect="002A152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1D"/>
    <w:rsid w:val="0002781D"/>
    <w:rsid w:val="00232E87"/>
    <w:rsid w:val="002A1526"/>
    <w:rsid w:val="003D4D15"/>
    <w:rsid w:val="005E276D"/>
    <w:rsid w:val="00641AD4"/>
    <w:rsid w:val="0072321E"/>
    <w:rsid w:val="007C376C"/>
    <w:rsid w:val="009B0F5F"/>
    <w:rsid w:val="00C4293B"/>
    <w:rsid w:val="00C5666A"/>
    <w:rsid w:val="00C60445"/>
    <w:rsid w:val="00DB1CBF"/>
    <w:rsid w:val="00DB5483"/>
    <w:rsid w:val="00FE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2781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table" w:styleId="TableGrid">
    <w:name w:val="Table Grid"/>
    <w:basedOn w:val="TableNormal"/>
    <w:uiPriority w:val="59"/>
    <w:rsid w:val="000278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2781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2781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table" w:styleId="TableGrid">
    <w:name w:val="Table Grid"/>
    <w:basedOn w:val="TableNormal"/>
    <w:uiPriority w:val="59"/>
    <w:rsid w:val="000278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278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6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BF0E9-68DB-4366-A60E-47E0EBE5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2021-07-14T09:32:00Z</cp:lastPrinted>
  <dcterms:created xsi:type="dcterms:W3CDTF">2021-07-14T09:33:00Z</dcterms:created>
  <dcterms:modified xsi:type="dcterms:W3CDTF">2021-07-14T09:33:00Z</dcterms:modified>
</cp:coreProperties>
</file>