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B2545"/>
          <w:sz w:val="48"/>
        </w:rPr>
        <w:t>Supply Chain Management Project</w:t>
      </w:r>
    </w:p>
    <w:p>
      <w:pPr>
        <w:jc w:val="center"/>
      </w:pPr>
      <w:r>
        <w:rPr>
          <w:rFonts w:ascii="Calibri" w:hAnsi="Calibri"/>
          <w:color w:val="1F4D78"/>
          <w:sz w:val="28"/>
        </w:rPr>
        <w:t>Final Documentation and Presentation Package</w:t>
      </w:r>
    </w:p>
    <w:p/>
    <w:tbl>
      <w:tblPr>
        <w:tblStyle w:val="TableGrid"/>
        <w:tblW w:type="auto" w:w="0"/>
        <w:jc w:val="center"/>
        <w:tblLayout w:type="fixed"/>
        <w:tblLook w:firstColumn="1" w:firstRow="1" w:lastColumn="0" w:lastRow="0" w:noHBand="0" w:noVBand="1" w:val="04A0"/>
      </w:tblPr>
      <w:tblGrid>
        <w:gridCol w:w="2592"/>
        <w:gridCol w:w="6624"/>
      </w:tblGrid>
      <w:tr>
        <w:tc>
          <w:tcPr>
            <w:tcW w:type="dxa" w:w="4680"/>
            <w:vAlign w:val="center"/>
            <w:shd w:fill="F2F4F7"/>
          </w:tcPr>
          <w:p>
            <w:pPr>
              <w:spacing w:after="0"/>
            </w:pPr>
            <w:r>
              <w:rPr>
                <w:rFonts w:ascii="Calibri" w:hAnsi="Calibri"/>
                <w:b/>
                <w:sz w:val="20"/>
              </w:rPr>
            </w:r>
            <w:r>
              <w:rPr>
                <w:rFonts w:ascii="Calibri" w:hAnsi="Calibri"/>
                <w:b/>
                <w:sz w:val="20"/>
              </w:rPr>
              <w:t>Item</w:t>
            </w:r>
          </w:p>
        </w:tc>
        <w:tc>
          <w:tcPr>
            <w:tcW w:type="dxa" w:w="4680"/>
            <w:vAlign w:val="center"/>
            <w:shd w:fill="F2F4F7"/>
          </w:tcPr>
          <w:p>
            <w:pPr>
              <w:spacing w:after="0"/>
            </w:pPr>
            <w:r>
              <w:rPr>
                <w:rFonts w:ascii="Calibri" w:hAnsi="Calibri"/>
                <w:b/>
                <w:sz w:val="20"/>
              </w:rPr>
            </w:r>
            <w:r>
              <w:rPr>
                <w:rFonts w:ascii="Calibri" w:hAnsi="Calibri"/>
                <w:b/>
                <w:sz w:val="20"/>
              </w:rPr>
              <w:t>Project Detail</w:t>
            </w:r>
          </w:p>
        </w:tc>
      </w:tr>
      <w:tr>
        <w:tc>
          <w:tcPr>
            <w:tcW w:type="dxa" w:w="2592"/>
            <w:vAlign w:val="center"/>
          </w:tcPr>
          <w:p>
            <w:pPr>
              <w:spacing w:after="0"/>
            </w:pPr>
            <w:r>
              <w:rPr>
                <w:rFonts w:ascii="Calibri" w:hAnsi="Calibri"/>
                <w:sz w:val="20"/>
              </w:rPr>
            </w:r>
            <w:r>
              <w:rPr>
                <w:rFonts w:ascii="Calibri" w:hAnsi="Calibri"/>
                <w:b/>
                <w:sz w:val="20"/>
              </w:rPr>
              <w:t>Project domain</w:t>
            </w:r>
          </w:p>
        </w:tc>
        <w:tc>
          <w:tcPr>
            <w:tcW w:type="dxa" w:w="6624"/>
            <w:vAlign w:val="center"/>
          </w:tcPr>
          <w:p>
            <w:pPr>
              <w:spacing w:after="0"/>
            </w:pPr>
            <w:r>
              <w:rPr>
                <w:rFonts w:ascii="Calibri" w:hAnsi="Calibri"/>
                <w:sz w:val="20"/>
              </w:rPr>
            </w:r>
            <w:r>
              <w:rPr>
                <w:rFonts w:ascii="Calibri" w:hAnsi="Calibri"/>
                <w:b w:val="0"/>
                <w:sz w:val="20"/>
              </w:rPr>
              <w:t>Supply Chain Management / Logistics Analytics</w:t>
            </w:r>
          </w:p>
        </w:tc>
      </w:tr>
      <w:tr>
        <w:tc>
          <w:tcPr>
            <w:tcW w:type="dxa" w:w="2592"/>
            <w:vAlign w:val="center"/>
          </w:tcPr>
          <w:p>
            <w:pPr>
              <w:spacing w:after="0"/>
            </w:pPr>
            <w:r>
              <w:rPr>
                <w:rFonts w:ascii="Calibri" w:hAnsi="Calibri"/>
                <w:sz w:val="20"/>
              </w:rPr>
            </w:r>
            <w:r>
              <w:rPr>
                <w:rFonts w:ascii="Calibri" w:hAnsi="Calibri"/>
                <w:b/>
                <w:sz w:val="20"/>
              </w:rPr>
              <w:t>Core tool stack</w:t>
            </w:r>
          </w:p>
        </w:tc>
        <w:tc>
          <w:tcPr>
            <w:tcW w:type="dxa" w:w="6624"/>
            <w:vAlign w:val="center"/>
          </w:tcPr>
          <w:p>
            <w:pPr>
              <w:spacing w:after="0"/>
            </w:pPr>
            <w:r>
              <w:rPr>
                <w:rFonts w:ascii="Calibri" w:hAnsi="Calibri"/>
                <w:sz w:val="20"/>
              </w:rPr>
            </w:r>
            <w:r>
              <w:rPr>
                <w:rFonts w:ascii="Calibri" w:hAnsi="Calibri"/>
                <w:b w:val="0"/>
                <w:sz w:val="20"/>
              </w:rPr>
              <w:t>MySQL, Python, Power BI</w:t>
            </w:r>
          </w:p>
        </w:tc>
      </w:tr>
      <w:tr>
        <w:tc>
          <w:tcPr>
            <w:tcW w:type="dxa" w:w="2592"/>
            <w:vAlign w:val="center"/>
          </w:tcPr>
          <w:p>
            <w:pPr>
              <w:spacing w:after="0"/>
            </w:pPr>
            <w:r>
              <w:rPr>
                <w:rFonts w:ascii="Calibri" w:hAnsi="Calibri"/>
                <w:sz w:val="20"/>
              </w:rPr>
            </w:r>
            <w:r>
              <w:rPr>
                <w:rFonts w:ascii="Calibri" w:hAnsi="Calibri"/>
                <w:b/>
                <w:sz w:val="20"/>
              </w:rPr>
              <w:t>Primary analytical table</w:t>
            </w:r>
          </w:p>
        </w:tc>
        <w:tc>
          <w:tcPr>
            <w:tcW w:type="dxa" w:w="6624"/>
            <w:vAlign w:val="center"/>
          </w:tcPr>
          <w:p>
            <w:pPr>
              <w:spacing w:after="0"/>
            </w:pPr>
            <w:r>
              <w:rPr>
                <w:rFonts w:ascii="Calibri" w:hAnsi="Calibri"/>
                <w:sz w:val="20"/>
              </w:rPr>
            </w:r>
            <w:r>
              <w:rPr>
                <w:rFonts w:ascii="Calibri" w:hAnsi="Calibri"/>
                <w:b w:val="0"/>
                <w:sz w:val="20"/>
              </w:rPr>
              <w:t>Transportation</w:t>
            </w:r>
          </w:p>
        </w:tc>
      </w:tr>
      <w:tr>
        <w:tc>
          <w:tcPr>
            <w:tcW w:type="dxa" w:w="2592"/>
            <w:vAlign w:val="center"/>
          </w:tcPr>
          <w:p>
            <w:pPr>
              <w:spacing w:after="0"/>
            </w:pPr>
            <w:r>
              <w:rPr>
                <w:rFonts w:ascii="Calibri" w:hAnsi="Calibri"/>
                <w:sz w:val="20"/>
              </w:rPr>
            </w:r>
            <w:r>
              <w:rPr>
                <w:rFonts w:ascii="Calibri" w:hAnsi="Calibri"/>
                <w:b/>
                <w:sz w:val="20"/>
              </w:rPr>
              <w:t>Supporting data</w:t>
            </w:r>
          </w:p>
        </w:tc>
        <w:tc>
          <w:tcPr>
            <w:tcW w:type="dxa" w:w="6624"/>
            <w:vAlign w:val="center"/>
          </w:tcPr>
          <w:p>
            <w:pPr>
              <w:spacing w:after="0"/>
            </w:pPr>
            <w:r>
              <w:rPr>
                <w:rFonts w:ascii="Calibri" w:hAnsi="Calibri"/>
                <w:sz w:val="20"/>
              </w:rPr>
            </w:r>
            <w:r>
              <w:rPr>
                <w:rFonts w:ascii="Calibri" w:hAnsi="Calibri"/>
                <w:b w:val="0"/>
                <w:sz w:val="20"/>
              </w:rPr>
              <w:t>Product data used for customer, product, sales, and profit analysis</w:t>
            </w:r>
          </w:p>
        </w:tc>
      </w:tr>
      <w:tr>
        <w:tc>
          <w:tcPr>
            <w:tcW w:type="dxa" w:w="2592"/>
            <w:vAlign w:val="center"/>
          </w:tcPr>
          <w:p>
            <w:pPr>
              <w:spacing w:after="0"/>
            </w:pPr>
            <w:r>
              <w:rPr>
                <w:rFonts w:ascii="Calibri" w:hAnsi="Calibri"/>
                <w:sz w:val="20"/>
              </w:rPr>
            </w:r>
            <w:r>
              <w:rPr>
                <w:rFonts w:ascii="Calibri" w:hAnsi="Calibri"/>
                <w:b/>
                <w:sz w:val="20"/>
              </w:rPr>
              <w:t>Dashboard status</w:t>
            </w:r>
          </w:p>
        </w:tc>
        <w:tc>
          <w:tcPr>
            <w:tcW w:type="dxa" w:w="6624"/>
            <w:vAlign w:val="center"/>
          </w:tcPr>
          <w:p>
            <w:pPr>
              <w:spacing w:after="0"/>
            </w:pPr>
            <w:r>
              <w:rPr>
                <w:rFonts w:ascii="Calibri" w:hAnsi="Calibri"/>
                <w:sz w:val="20"/>
              </w:rPr>
            </w:r>
            <w:r>
              <w:rPr>
                <w:rFonts w:ascii="Calibri" w:hAnsi="Calibri"/>
                <w:b w:val="0"/>
                <w:sz w:val="20"/>
              </w:rPr>
              <w:t>Six Power BI report pages completed</w:t>
            </w:r>
          </w:p>
        </w:tc>
      </w:tr>
      <w:tr>
        <w:tc>
          <w:tcPr>
            <w:tcW w:type="dxa" w:w="2592"/>
            <w:vAlign w:val="center"/>
          </w:tcPr>
          <w:p>
            <w:pPr>
              <w:spacing w:after="0"/>
            </w:pPr>
            <w:r>
              <w:rPr>
                <w:rFonts w:ascii="Calibri" w:hAnsi="Calibri"/>
                <w:sz w:val="20"/>
              </w:rPr>
            </w:r>
            <w:r>
              <w:rPr>
                <w:rFonts w:ascii="Calibri" w:hAnsi="Calibri"/>
                <w:b/>
                <w:sz w:val="20"/>
              </w:rPr>
              <w:t>Purpose</w:t>
            </w:r>
          </w:p>
        </w:tc>
        <w:tc>
          <w:tcPr>
            <w:tcW w:type="dxa" w:w="6624"/>
            <w:vAlign w:val="center"/>
          </w:tcPr>
          <w:p>
            <w:pPr>
              <w:spacing w:after="0"/>
            </w:pPr>
            <w:r>
              <w:rPr>
                <w:rFonts w:ascii="Calibri" w:hAnsi="Calibri"/>
                <w:sz w:val="20"/>
              </w:rPr>
            </w:r>
            <w:r>
              <w:rPr>
                <w:rFonts w:ascii="Calibri" w:hAnsi="Calibri"/>
                <w:b w:val="0"/>
                <w:sz w:val="20"/>
              </w:rPr>
              <w:t>Validate operational data, explain delivery performance, and present business insights clearly in a project viva or interview.</w:t>
            </w:r>
          </w:p>
        </w:tc>
      </w:tr>
    </w:tbl>
    <w:p>
      <w:pPr>
        <w:pStyle w:val="Heading1"/>
      </w:pPr>
      <w:r>
        <w:t>What To Do Next</w:t>
      </w:r>
    </w:p>
    <w:p>
      <w:pPr>
        <w:pStyle w:val="BodyText"/>
      </w:pPr>
      <w:r>
        <w:t>Use this section as your final action checklist. Do not recreate the Power BI measures that already exist. Only verify, capture evidence, and prepare your explanation.</w:t>
      </w:r>
    </w:p>
    <w:p>
      <w:pPr>
        <w:pStyle w:val="ListNumber"/>
      </w:pPr>
      <w:r>
        <w:t>Open the Power BI file and confirm all six pages are present: Executive Overview, Transportation Performance, Route &amp; Geographic Analysis, Sales &amp; Customer Analysis, Delivery &amp; Risk Analysis, and Management &amp; Operational Summary.</w:t>
      </w:r>
    </w:p>
    <w:p>
      <w:pPr>
        <w:pStyle w:val="ListNumber"/>
      </w:pPr>
      <w:r>
        <w:t>Take one clean screenshot of each dashboard page for your final submission or presentation.</w:t>
      </w:r>
    </w:p>
    <w:p>
      <w:pPr>
        <w:pStyle w:val="ListNumber"/>
      </w:pPr>
      <w:r>
        <w:t>Run SQL validation queries for total shipments, late shipments, on-time shipments, high-risk shipments, average shipping days, sales, profit, and segment totals.</w:t>
      </w:r>
    </w:p>
    <w:p>
      <w:pPr>
        <w:pStyle w:val="ListNumber"/>
      </w:pPr>
      <w:r>
        <w:t>Run the Python validation checks to confirm row counts, missing values, data types, duplicate rows, date ranges, and KPI totals.</w:t>
      </w:r>
    </w:p>
    <w:p>
      <w:pPr>
        <w:pStyle w:val="ListNumber"/>
      </w:pPr>
      <w:r>
        <w:t>Add the screenshots and validation outputs to your final college/project folder.</w:t>
      </w:r>
    </w:p>
    <w:p>
      <w:pPr>
        <w:pStyle w:val="ListNumber"/>
      </w:pPr>
      <w:r>
        <w:t>Practice the viva talking points at the end of this report until you can explain the business problem, data pipeline, model, dashboards, findings, and limitations without reading formulas.</w:t>
      </w:r>
    </w:p>
    <w:p>
      <w:pPr>
        <w:pStyle w:val="Heading1"/>
      </w:pPr>
      <w:r>
        <w:t>Project Overview</w:t>
      </w:r>
    </w:p>
    <w:p>
      <w:pPr>
        <w:pStyle w:val="BodyText"/>
      </w:pPr>
      <w:r>
        <w:t>This project analyzes supply chain and logistics performance using structured transportation and product data. The work combines SQL validation, Python data checking, and a six-page Power BI dashboard to understand shipment volume, delivery delays, high-risk routes, transportation status, customer segments, product performance, and operational risk.</w:t>
      </w:r>
    </w:p>
    <w:p>
      <w:pPr>
        <w:pStyle w:val="BodyText"/>
      </w:pPr>
      <w:r>
        <w:t>The main business question is: how can shipment and sales data be used to identify delay patterns, high-risk routes, poor-performing shipping modes, and priority-level delivery issues so that management can take better logistics decisions?</w:t>
      </w:r>
    </w:p>
    <w:p>
      <w:pPr>
        <w:pStyle w:val="Heading1"/>
      </w:pPr>
      <w:r>
        <w:t>Problem Statement</w:t>
      </w:r>
    </w:p>
    <w:p>
      <w:pPr>
        <w:pStyle w:val="BodyText"/>
      </w:pPr>
      <w:r>
        <w:t>Supply chain teams often handle large volumes of shipment records across different regions, shipping modes, customer segments, and priority levels. Without validation and visual analysis, it is difficult to know where delays are happening, which routes are risky, and whether high-priority shipments are actually receiving better operational performance.</w:t>
      </w:r>
    </w:p>
    <w:p>
      <w:pPr>
        <w:pStyle w:val="BodyText"/>
      </w:pPr>
      <w:r>
        <w:t>The objective of this project is to build a validated analytics workflow that converts raw operational data into a decision-ready dashboard for monitoring shipment performance, delivery risk, sales contribution, and customer/product trends.</w:t>
      </w:r>
    </w:p>
    <w:p>
      <w:pPr>
        <w:pStyle w:val="Heading1"/>
      </w:pPr>
      <w:r>
        <w:t>Data Pipeline And Process Flow</w:t>
      </w:r>
    </w:p>
    <w:p>
      <w:pPr>
        <w:pStyle w:val="ListNumber"/>
      </w:pPr>
      <w:r>
        <w:t>Raw CSV files were collected for transportation and product-related analysis.</w:t>
      </w:r>
    </w:p>
    <w:p>
      <w:pPr>
        <w:pStyle w:val="ListNumber"/>
      </w:pPr>
      <w:r>
        <w:t>The data was imported into MySQL for structured querying and KPI validation.</w:t>
      </w:r>
    </w:p>
    <w:p>
      <w:pPr>
        <w:pStyle w:val="ListNumber"/>
      </w:pPr>
      <w:r>
        <w:t>Python was used for independent validation of rows, columns, data types, null values, duplicates, date fields, and calculated metrics.</w:t>
      </w:r>
    </w:p>
    <w:p>
      <w:pPr>
        <w:pStyle w:val="ListNumber"/>
      </w:pPr>
      <w:r>
        <w:t>The validated tables were loaded into Power BI.</w:t>
      </w:r>
    </w:p>
    <w:p>
      <w:pPr>
        <w:pStyle w:val="ListNumber"/>
      </w:pPr>
      <w:r>
        <w:t>Power BI measures that had already been created were reused across pages instead of being duplicated.</w:t>
      </w:r>
    </w:p>
    <w:p>
      <w:pPr>
        <w:pStyle w:val="ListNumber"/>
      </w:pPr>
      <w:r>
        <w:t>Six dashboard pages were created to support executive, operational, geographic, sales, delivery-risk, and management-level analysis.</w:t>
      </w:r>
    </w:p>
    <w:p>
      <w:pPr>
        <w:pStyle w:val="ListNumber"/>
      </w:pPr>
      <w:r>
        <w:t>Final validation compared dashboard values against SQL and Python outputs.</w:t>
      </w:r>
    </w:p>
    <w:p>
      <w:pPr>
        <w:pStyle w:val="Heading1"/>
      </w:pPr>
      <w:r>
        <w:t>Transportation Table And Data Model Explanation</w:t>
      </w:r>
    </w:p>
    <w:p>
      <w:pPr>
        <w:pStyle w:val="BodyText"/>
      </w:pPr>
      <w:r>
        <w:t>The Transportation table is the central operational table in the project. It supports shipment count, delivery status, transportation status, route, region, priority, shipping mode, shipping duration, and risk analysis. Most dashboard pages use this table because the project is mainly focused on logistics and delivery performance.</w:t>
      </w:r>
    </w:p>
    <w:tbl>
      <w:tblPr>
        <w:tblStyle w:val="TableGrid"/>
        <w:tblW w:type="auto" w:w="0"/>
        <w:jc w:val="center"/>
        <w:tblLayout w:type="fixed"/>
        <w:tblLook w:firstColumn="1" w:firstRow="1" w:lastColumn="0" w:lastRow="0" w:noHBand="0" w:noVBand="1" w:val="04A0"/>
      </w:tblPr>
      <w:tblGrid>
        <w:gridCol w:w="3024"/>
        <w:gridCol w:w="6048"/>
      </w:tblGrid>
      <w:tr>
        <w:tc>
          <w:tcPr>
            <w:tcW w:type="dxa" w:w="4680"/>
            <w:vAlign w:val="center"/>
            <w:shd w:fill="F2F4F7"/>
          </w:tcPr>
          <w:p>
            <w:pPr>
              <w:spacing w:after="0"/>
            </w:pPr>
            <w:r>
              <w:rPr>
                <w:rFonts w:ascii="Calibri" w:hAnsi="Calibri"/>
                <w:b/>
                <w:sz w:val="20"/>
              </w:rPr>
            </w:r>
            <w:r>
              <w:rPr>
                <w:rFonts w:ascii="Calibri" w:hAnsi="Calibri"/>
                <w:b/>
                <w:sz w:val="20"/>
              </w:rPr>
              <w:t>Field / Measure Area</w:t>
            </w:r>
          </w:p>
        </w:tc>
        <w:tc>
          <w:tcPr>
            <w:tcW w:type="dxa" w:w="4680"/>
            <w:vAlign w:val="center"/>
            <w:shd w:fill="F2F4F7"/>
          </w:tcPr>
          <w:p>
            <w:pPr>
              <w:spacing w:after="0"/>
            </w:pPr>
            <w:r>
              <w:rPr>
                <w:rFonts w:ascii="Calibri" w:hAnsi="Calibri"/>
                <w:b/>
                <w:sz w:val="20"/>
              </w:rPr>
            </w:r>
            <w:r>
              <w:rPr>
                <w:rFonts w:ascii="Calibri" w:hAnsi="Calibri"/>
                <w:b/>
                <w:sz w:val="20"/>
              </w:rPr>
              <w:t>Purpose In Analysis</w:t>
            </w:r>
          </w:p>
        </w:tc>
      </w:tr>
      <w:tr>
        <w:tc>
          <w:tcPr>
            <w:tcW w:type="dxa" w:w="3024"/>
            <w:vAlign w:val="center"/>
          </w:tcPr>
          <w:p>
            <w:pPr>
              <w:spacing w:after="0"/>
            </w:pPr>
            <w:r>
              <w:rPr>
                <w:rFonts w:ascii="Calibri" w:hAnsi="Calibri"/>
                <w:sz w:val="20"/>
              </w:rPr>
            </w:r>
            <w:r>
              <w:rPr>
                <w:rFonts w:ascii="Calibri" w:hAnsi="Calibri"/>
                <w:b w:val="0"/>
                <w:sz w:val="20"/>
              </w:rPr>
              <w:t>Order_Date</w:t>
            </w:r>
          </w:p>
        </w:tc>
        <w:tc>
          <w:tcPr>
            <w:tcW w:type="dxa" w:w="6048"/>
            <w:vAlign w:val="center"/>
          </w:tcPr>
          <w:p>
            <w:pPr>
              <w:spacing w:after="0"/>
            </w:pPr>
            <w:r>
              <w:rPr>
                <w:rFonts w:ascii="Calibri" w:hAnsi="Calibri"/>
                <w:sz w:val="20"/>
              </w:rPr>
            </w:r>
            <w:r>
              <w:rPr>
                <w:rFonts w:ascii="Calibri" w:hAnsi="Calibri"/>
                <w:b w:val="0"/>
                <w:sz w:val="20"/>
              </w:rPr>
              <w:t>Used for shipment and late-shipment trend analysis over time.</w:t>
            </w:r>
          </w:p>
        </w:tc>
      </w:tr>
      <w:tr>
        <w:tc>
          <w:tcPr>
            <w:tcW w:type="dxa" w:w="3024"/>
            <w:vAlign w:val="center"/>
          </w:tcPr>
          <w:p>
            <w:pPr>
              <w:spacing w:after="0"/>
            </w:pPr>
            <w:r>
              <w:rPr>
                <w:rFonts w:ascii="Calibri" w:hAnsi="Calibri"/>
                <w:sz w:val="20"/>
              </w:rPr>
            </w:r>
            <w:r>
              <w:rPr>
                <w:rFonts w:ascii="Calibri" w:hAnsi="Calibri"/>
                <w:b w:val="0"/>
                <w:sz w:val="20"/>
              </w:rPr>
              <w:t>Order_Region</w:t>
            </w:r>
          </w:p>
        </w:tc>
        <w:tc>
          <w:tcPr>
            <w:tcW w:type="dxa" w:w="6048"/>
            <w:vAlign w:val="center"/>
          </w:tcPr>
          <w:p>
            <w:pPr>
              <w:spacing w:after="0"/>
            </w:pPr>
            <w:r>
              <w:rPr>
                <w:rFonts w:ascii="Calibri" w:hAnsi="Calibri"/>
                <w:sz w:val="20"/>
              </w:rPr>
            </w:r>
            <w:r>
              <w:rPr>
                <w:rFonts w:ascii="Calibri" w:hAnsi="Calibri"/>
                <w:b w:val="0"/>
                <w:sz w:val="20"/>
              </w:rPr>
              <w:t>Used to compare shipment volume and late shipment percentage by region.</w:t>
            </w:r>
          </w:p>
        </w:tc>
      </w:tr>
      <w:tr>
        <w:tc>
          <w:tcPr>
            <w:tcW w:type="dxa" w:w="3024"/>
            <w:vAlign w:val="center"/>
          </w:tcPr>
          <w:p>
            <w:pPr>
              <w:spacing w:after="0"/>
            </w:pPr>
            <w:r>
              <w:rPr>
                <w:rFonts w:ascii="Calibri" w:hAnsi="Calibri"/>
                <w:sz w:val="20"/>
              </w:rPr>
            </w:r>
            <w:r>
              <w:rPr>
                <w:rFonts w:ascii="Calibri" w:hAnsi="Calibri"/>
                <w:b w:val="0"/>
                <w:sz w:val="20"/>
              </w:rPr>
              <w:t>Shipping_Mode</w:t>
            </w:r>
          </w:p>
        </w:tc>
        <w:tc>
          <w:tcPr>
            <w:tcW w:type="dxa" w:w="6048"/>
            <w:vAlign w:val="center"/>
          </w:tcPr>
          <w:p>
            <w:pPr>
              <w:spacing w:after="0"/>
            </w:pPr>
            <w:r>
              <w:rPr>
                <w:rFonts w:ascii="Calibri" w:hAnsi="Calibri"/>
                <w:sz w:val="20"/>
              </w:rPr>
            </w:r>
            <w:r>
              <w:rPr>
                <w:rFonts w:ascii="Calibri" w:hAnsi="Calibri"/>
                <w:b w:val="0"/>
                <w:sz w:val="20"/>
              </w:rPr>
              <w:t>Used to compare performance of Standard Class, Second Class, First Class, and Same Day deliveries.</w:t>
            </w:r>
          </w:p>
        </w:tc>
      </w:tr>
      <w:tr>
        <w:tc>
          <w:tcPr>
            <w:tcW w:type="dxa" w:w="3024"/>
            <w:vAlign w:val="center"/>
          </w:tcPr>
          <w:p>
            <w:pPr>
              <w:spacing w:after="0"/>
            </w:pPr>
            <w:r>
              <w:rPr>
                <w:rFonts w:ascii="Calibri" w:hAnsi="Calibri"/>
                <w:sz w:val="20"/>
              </w:rPr>
            </w:r>
            <w:r>
              <w:rPr>
                <w:rFonts w:ascii="Calibri" w:hAnsi="Calibri"/>
                <w:b w:val="0"/>
                <w:sz w:val="20"/>
              </w:rPr>
              <w:t>Priority</w:t>
            </w:r>
          </w:p>
        </w:tc>
        <w:tc>
          <w:tcPr>
            <w:tcW w:type="dxa" w:w="6048"/>
            <w:vAlign w:val="center"/>
          </w:tcPr>
          <w:p>
            <w:pPr>
              <w:spacing w:after="0"/>
            </w:pPr>
            <w:r>
              <w:rPr>
                <w:rFonts w:ascii="Calibri" w:hAnsi="Calibri"/>
                <w:sz w:val="20"/>
              </w:rPr>
            </w:r>
            <w:r>
              <w:rPr>
                <w:rFonts w:ascii="Calibri" w:hAnsi="Calibri"/>
                <w:b w:val="0"/>
                <w:sz w:val="20"/>
              </w:rPr>
              <w:t>Used to compare delivery outcomes for High and other priority levels.</w:t>
            </w:r>
          </w:p>
        </w:tc>
      </w:tr>
      <w:tr>
        <w:tc>
          <w:tcPr>
            <w:tcW w:type="dxa" w:w="3024"/>
            <w:vAlign w:val="center"/>
          </w:tcPr>
          <w:p>
            <w:pPr>
              <w:spacing w:after="0"/>
            </w:pPr>
            <w:r>
              <w:rPr>
                <w:rFonts w:ascii="Calibri" w:hAnsi="Calibri"/>
                <w:sz w:val="20"/>
              </w:rPr>
            </w:r>
            <w:r>
              <w:rPr>
                <w:rFonts w:ascii="Calibri" w:hAnsi="Calibri"/>
                <w:b w:val="0"/>
                <w:sz w:val="20"/>
              </w:rPr>
              <w:t>Delivery_Status</w:t>
            </w:r>
          </w:p>
        </w:tc>
        <w:tc>
          <w:tcPr>
            <w:tcW w:type="dxa" w:w="6048"/>
            <w:vAlign w:val="center"/>
          </w:tcPr>
          <w:p>
            <w:pPr>
              <w:spacing w:after="0"/>
            </w:pPr>
            <w:r>
              <w:rPr>
                <w:rFonts w:ascii="Calibri" w:hAnsi="Calibri"/>
                <w:sz w:val="20"/>
              </w:rPr>
            </w:r>
            <w:r>
              <w:rPr>
                <w:rFonts w:ascii="Calibri" w:hAnsi="Calibri"/>
                <w:b w:val="0"/>
                <w:sz w:val="20"/>
              </w:rPr>
              <w:t>Used to classify shipment delivery outcomes such as late delivery, advance shipping, on-time shipping, and canceled shipping.</w:t>
            </w:r>
          </w:p>
        </w:tc>
      </w:tr>
      <w:tr>
        <w:tc>
          <w:tcPr>
            <w:tcW w:type="dxa" w:w="3024"/>
            <w:vAlign w:val="center"/>
          </w:tcPr>
          <w:p>
            <w:pPr>
              <w:spacing w:after="0"/>
            </w:pPr>
            <w:r>
              <w:rPr>
                <w:rFonts w:ascii="Calibri" w:hAnsi="Calibri"/>
                <w:sz w:val="20"/>
              </w:rPr>
            </w:r>
            <w:r>
              <w:rPr>
                <w:rFonts w:ascii="Calibri" w:hAnsi="Calibri"/>
                <w:b w:val="0"/>
                <w:sz w:val="20"/>
              </w:rPr>
              <w:t>Transportation_Status</w:t>
            </w:r>
          </w:p>
        </w:tc>
        <w:tc>
          <w:tcPr>
            <w:tcW w:type="dxa" w:w="6048"/>
            <w:vAlign w:val="center"/>
          </w:tcPr>
          <w:p>
            <w:pPr>
              <w:spacing w:after="0"/>
            </w:pPr>
            <w:r>
              <w:rPr>
                <w:rFonts w:ascii="Calibri" w:hAnsi="Calibri"/>
                <w:sz w:val="20"/>
              </w:rPr>
            </w:r>
            <w:r>
              <w:rPr>
                <w:rFonts w:ascii="Calibri" w:hAnsi="Calibri"/>
                <w:b w:val="0"/>
                <w:sz w:val="20"/>
              </w:rPr>
              <w:t>Used for management-level view of overall transportation status.</w:t>
            </w:r>
          </w:p>
        </w:tc>
      </w:tr>
      <w:tr>
        <w:tc>
          <w:tcPr>
            <w:tcW w:type="dxa" w:w="3024"/>
            <w:vAlign w:val="center"/>
          </w:tcPr>
          <w:p>
            <w:pPr>
              <w:spacing w:after="0"/>
            </w:pPr>
            <w:r>
              <w:rPr>
                <w:rFonts w:ascii="Calibri" w:hAnsi="Calibri"/>
                <w:sz w:val="20"/>
              </w:rPr>
            </w:r>
            <w:r>
              <w:rPr>
                <w:rFonts w:ascii="Calibri" w:hAnsi="Calibri"/>
                <w:b w:val="0"/>
                <w:sz w:val="20"/>
              </w:rPr>
              <w:t>Origin_Location</w:t>
            </w:r>
          </w:p>
        </w:tc>
        <w:tc>
          <w:tcPr>
            <w:tcW w:type="dxa" w:w="6048"/>
            <w:vAlign w:val="center"/>
          </w:tcPr>
          <w:p>
            <w:pPr>
              <w:spacing w:after="0"/>
            </w:pPr>
            <w:r>
              <w:rPr>
                <w:rFonts w:ascii="Calibri" w:hAnsi="Calibri"/>
                <w:sz w:val="20"/>
              </w:rPr>
            </w:r>
            <w:r>
              <w:rPr>
                <w:rFonts w:ascii="Calibri" w:hAnsi="Calibri"/>
                <w:b w:val="0"/>
                <w:sz w:val="20"/>
              </w:rPr>
              <w:t>Used with Destination_Location for route-level risk analysis.</w:t>
            </w:r>
          </w:p>
        </w:tc>
      </w:tr>
      <w:tr>
        <w:tc>
          <w:tcPr>
            <w:tcW w:type="dxa" w:w="3024"/>
            <w:vAlign w:val="center"/>
          </w:tcPr>
          <w:p>
            <w:pPr>
              <w:spacing w:after="0"/>
            </w:pPr>
            <w:r>
              <w:rPr>
                <w:rFonts w:ascii="Calibri" w:hAnsi="Calibri"/>
                <w:sz w:val="20"/>
              </w:rPr>
            </w:r>
            <w:r>
              <w:rPr>
                <w:rFonts w:ascii="Calibri" w:hAnsi="Calibri"/>
                <w:b w:val="0"/>
                <w:sz w:val="20"/>
              </w:rPr>
              <w:t>Destination_Location</w:t>
            </w:r>
          </w:p>
        </w:tc>
        <w:tc>
          <w:tcPr>
            <w:tcW w:type="dxa" w:w="6048"/>
            <w:vAlign w:val="center"/>
          </w:tcPr>
          <w:p>
            <w:pPr>
              <w:spacing w:after="0"/>
            </w:pPr>
            <w:r>
              <w:rPr>
                <w:rFonts w:ascii="Calibri" w:hAnsi="Calibri"/>
                <w:sz w:val="20"/>
              </w:rPr>
            </w:r>
            <w:r>
              <w:rPr>
                <w:rFonts w:ascii="Calibri" w:hAnsi="Calibri"/>
                <w:b w:val="0"/>
                <w:sz w:val="20"/>
              </w:rPr>
              <w:t>Used to identify high-risk routes and late shipment patterns.</w:t>
            </w:r>
          </w:p>
        </w:tc>
      </w:tr>
      <w:tr>
        <w:tc>
          <w:tcPr>
            <w:tcW w:type="dxa" w:w="3024"/>
            <w:vAlign w:val="center"/>
          </w:tcPr>
          <w:p>
            <w:pPr>
              <w:spacing w:after="0"/>
            </w:pPr>
            <w:r>
              <w:rPr>
                <w:rFonts w:ascii="Calibri" w:hAnsi="Calibri"/>
                <w:sz w:val="20"/>
              </w:rPr>
            </w:r>
            <w:r>
              <w:rPr>
                <w:rFonts w:ascii="Calibri" w:hAnsi="Calibri"/>
                <w:b w:val="0"/>
                <w:sz w:val="20"/>
              </w:rPr>
              <w:t>Shipping Days</w:t>
            </w:r>
          </w:p>
        </w:tc>
        <w:tc>
          <w:tcPr>
            <w:tcW w:type="dxa" w:w="6048"/>
            <w:vAlign w:val="center"/>
          </w:tcPr>
          <w:p>
            <w:pPr>
              <w:spacing w:after="0"/>
            </w:pPr>
            <w:r>
              <w:rPr>
                <w:rFonts w:ascii="Calibri" w:hAnsi="Calibri"/>
                <w:sz w:val="20"/>
              </w:rPr>
            </w:r>
            <w:r>
              <w:rPr>
                <w:rFonts w:ascii="Calibri" w:hAnsi="Calibri"/>
                <w:b w:val="0"/>
                <w:sz w:val="20"/>
              </w:rPr>
              <w:t>Used for average shipping duration and delivery performance metrics.</w:t>
            </w:r>
          </w:p>
        </w:tc>
      </w:tr>
    </w:tbl>
    <w:p>
      <w:pPr>
        <w:pStyle w:val="BodyText"/>
      </w:pPr>
      <w:r>
        <w:t>The Product data supports the customer and product analysis page, especially sales, profit, product category, top products, and customer segment performance. It is not required for the Delivery &amp; Risk Analysis or Management &amp; Operational Summary pages.</w:t>
      </w:r>
    </w:p>
    <w:p>
      <w:pPr>
        <w:pStyle w:val="Heading1"/>
      </w:pPr>
      <w:r>
        <w:t>Data Dictionary</w:t>
      </w:r>
    </w:p>
    <w:tbl>
      <w:tblPr>
        <w:tblStyle w:val="TableGrid"/>
        <w:tblW w:type="auto" w:w="0"/>
        <w:jc w:val="center"/>
        <w:tblLayout w:type="fixed"/>
        <w:tblLook w:firstColumn="1" w:firstRow="1" w:lastColumn="0" w:lastRow="0" w:noHBand="0" w:noVBand="1" w:val="04A0"/>
      </w:tblPr>
      <w:tblGrid>
        <w:gridCol w:w="2592"/>
        <w:gridCol w:w="1440"/>
        <w:gridCol w:w="5328"/>
      </w:tblGrid>
      <w:tr>
        <w:tc>
          <w:tcPr>
            <w:tcW w:type="dxa" w:w="3120"/>
            <w:vAlign w:val="center"/>
            <w:shd w:fill="F2F4F7"/>
          </w:tcPr>
          <w:p>
            <w:pPr>
              <w:spacing w:after="0"/>
            </w:pPr>
            <w:r>
              <w:rPr>
                <w:rFonts w:ascii="Calibri" w:hAnsi="Calibri"/>
                <w:b/>
                <w:sz w:val="20"/>
              </w:rPr>
            </w:r>
            <w:r>
              <w:rPr>
                <w:rFonts w:ascii="Calibri" w:hAnsi="Calibri"/>
                <w:b/>
                <w:sz w:val="20"/>
              </w:rPr>
              <w:t>Column / KPI</w:t>
            </w:r>
          </w:p>
        </w:tc>
        <w:tc>
          <w:tcPr>
            <w:tcW w:type="dxa" w:w="3120"/>
            <w:vAlign w:val="center"/>
            <w:shd w:fill="F2F4F7"/>
          </w:tcPr>
          <w:p>
            <w:pPr>
              <w:spacing w:after="0"/>
            </w:pPr>
            <w:r>
              <w:rPr>
                <w:rFonts w:ascii="Calibri" w:hAnsi="Calibri"/>
                <w:b/>
                <w:sz w:val="20"/>
              </w:rPr>
            </w:r>
            <w:r>
              <w:rPr>
                <w:rFonts w:ascii="Calibri" w:hAnsi="Calibri"/>
                <w:b/>
                <w:sz w:val="20"/>
              </w:rPr>
              <w:t>Type</w:t>
            </w:r>
          </w:p>
        </w:tc>
        <w:tc>
          <w:tcPr>
            <w:tcW w:type="dxa" w:w="3120"/>
            <w:vAlign w:val="center"/>
            <w:shd w:fill="F2F4F7"/>
          </w:tcPr>
          <w:p>
            <w:pPr>
              <w:spacing w:after="0"/>
            </w:pPr>
            <w:r>
              <w:rPr>
                <w:rFonts w:ascii="Calibri" w:hAnsi="Calibri"/>
                <w:b/>
                <w:sz w:val="20"/>
              </w:rPr>
            </w:r>
            <w:r>
              <w:rPr>
                <w:rFonts w:ascii="Calibri" w:hAnsi="Calibri"/>
                <w:b/>
                <w:sz w:val="20"/>
              </w:rPr>
              <w:t>Business Meaning</w:t>
            </w:r>
          </w:p>
        </w:tc>
      </w:tr>
      <w:tr>
        <w:tc>
          <w:tcPr>
            <w:tcW w:type="dxa" w:w="2592"/>
            <w:vAlign w:val="center"/>
          </w:tcPr>
          <w:p>
            <w:pPr>
              <w:spacing w:after="0"/>
            </w:pPr>
            <w:r>
              <w:rPr>
                <w:rFonts w:ascii="Calibri" w:hAnsi="Calibri"/>
                <w:sz w:val="20"/>
              </w:rPr>
            </w:r>
            <w:r>
              <w:rPr>
                <w:rFonts w:ascii="Calibri" w:hAnsi="Calibri"/>
                <w:b w:val="0"/>
                <w:sz w:val="20"/>
              </w:rPr>
              <w:t>Total Shipments</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Count of shipment/order records used as the base volume metric.</w:t>
            </w:r>
          </w:p>
        </w:tc>
      </w:tr>
      <w:tr>
        <w:tc>
          <w:tcPr>
            <w:tcW w:type="dxa" w:w="2592"/>
            <w:vAlign w:val="center"/>
          </w:tcPr>
          <w:p>
            <w:pPr>
              <w:spacing w:after="0"/>
            </w:pPr>
            <w:r>
              <w:rPr>
                <w:rFonts w:ascii="Calibri" w:hAnsi="Calibri"/>
                <w:sz w:val="20"/>
              </w:rPr>
            </w:r>
            <w:r>
              <w:rPr>
                <w:rFonts w:ascii="Calibri" w:hAnsi="Calibri"/>
                <w:b w:val="0"/>
                <w:sz w:val="20"/>
              </w:rPr>
              <w:t>Late Shipments</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Shipments classified as late according to the delivery status logic.</w:t>
            </w:r>
          </w:p>
        </w:tc>
      </w:tr>
      <w:tr>
        <w:tc>
          <w:tcPr>
            <w:tcW w:type="dxa" w:w="2592"/>
            <w:vAlign w:val="center"/>
          </w:tcPr>
          <w:p>
            <w:pPr>
              <w:spacing w:after="0"/>
            </w:pPr>
            <w:r>
              <w:rPr>
                <w:rFonts w:ascii="Calibri" w:hAnsi="Calibri"/>
                <w:sz w:val="20"/>
              </w:rPr>
            </w:r>
            <w:r>
              <w:rPr>
                <w:rFonts w:ascii="Calibri" w:hAnsi="Calibri"/>
                <w:b w:val="0"/>
                <w:sz w:val="20"/>
              </w:rPr>
              <w:t>On Time Shipments</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Shipments that reached the customer on time.</w:t>
            </w:r>
          </w:p>
        </w:tc>
      </w:tr>
      <w:tr>
        <w:tc>
          <w:tcPr>
            <w:tcW w:type="dxa" w:w="2592"/>
            <w:vAlign w:val="center"/>
          </w:tcPr>
          <w:p>
            <w:pPr>
              <w:spacing w:after="0"/>
            </w:pPr>
            <w:r>
              <w:rPr>
                <w:rFonts w:ascii="Calibri" w:hAnsi="Calibri"/>
                <w:sz w:val="20"/>
              </w:rPr>
            </w:r>
            <w:r>
              <w:rPr>
                <w:rFonts w:ascii="Calibri" w:hAnsi="Calibri"/>
                <w:b w:val="0"/>
                <w:sz w:val="20"/>
              </w:rPr>
              <w:t>High Risk Shipments</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Shipments classified as high risk based on delay or risk criteria.</w:t>
            </w:r>
          </w:p>
        </w:tc>
      </w:tr>
      <w:tr>
        <w:tc>
          <w:tcPr>
            <w:tcW w:type="dxa" w:w="2592"/>
            <w:vAlign w:val="center"/>
          </w:tcPr>
          <w:p>
            <w:pPr>
              <w:spacing w:after="0"/>
            </w:pPr>
            <w:r>
              <w:rPr>
                <w:rFonts w:ascii="Calibri" w:hAnsi="Calibri"/>
                <w:sz w:val="20"/>
              </w:rPr>
            </w:r>
            <w:r>
              <w:rPr>
                <w:rFonts w:ascii="Calibri" w:hAnsi="Calibri"/>
                <w:b w:val="0"/>
                <w:sz w:val="20"/>
              </w:rPr>
              <w:t>Average Shipping Days</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Average time taken to ship orders.</w:t>
            </w:r>
          </w:p>
        </w:tc>
      </w:tr>
      <w:tr>
        <w:tc>
          <w:tcPr>
            <w:tcW w:type="dxa" w:w="2592"/>
            <w:vAlign w:val="center"/>
          </w:tcPr>
          <w:p>
            <w:pPr>
              <w:spacing w:after="0"/>
            </w:pPr>
            <w:r>
              <w:rPr>
                <w:rFonts w:ascii="Calibri" w:hAnsi="Calibri"/>
                <w:sz w:val="20"/>
              </w:rPr>
            </w:r>
            <w:r>
              <w:rPr>
                <w:rFonts w:ascii="Calibri" w:hAnsi="Calibri"/>
                <w:b w:val="0"/>
                <w:sz w:val="20"/>
              </w:rPr>
              <w:t>Late Shipment %</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Late shipments divided by total shipments for a selected segment or region.</w:t>
            </w:r>
          </w:p>
        </w:tc>
      </w:tr>
      <w:tr>
        <w:tc>
          <w:tcPr>
            <w:tcW w:type="dxa" w:w="2592"/>
            <w:vAlign w:val="center"/>
          </w:tcPr>
          <w:p>
            <w:pPr>
              <w:spacing w:after="0"/>
            </w:pPr>
            <w:r>
              <w:rPr>
                <w:rFonts w:ascii="Calibri" w:hAnsi="Calibri"/>
                <w:sz w:val="20"/>
              </w:rPr>
            </w:r>
            <w:r>
              <w:rPr>
                <w:rFonts w:ascii="Calibri" w:hAnsi="Calibri"/>
                <w:b w:val="0"/>
                <w:sz w:val="20"/>
              </w:rPr>
              <w:t>High Risk %</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High-risk shipments divided by total shipments.</w:t>
            </w:r>
          </w:p>
        </w:tc>
      </w:tr>
      <w:tr>
        <w:tc>
          <w:tcPr>
            <w:tcW w:type="dxa" w:w="2592"/>
            <w:vAlign w:val="center"/>
          </w:tcPr>
          <w:p>
            <w:pPr>
              <w:spacing w:after="0"/>
            </w:pPr>
            <w:r>
              <w:rPr>
                <w:rFonts w:ascii="Calibri" w:hAnsi="Calibri"/>
                <w:sz w:val="20"/>
              </w:rPr>
            </w:r>
            <w:r>
              <w:rPr>
                <w:rFonts w:ascii="Calibri" w:hAnsi="Calibri"/>
                <w:b w:val="0"/>
                <w:sz w:val="20"/>
              </w:rPr>
              <w:t>On Time %</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On-time shipments divided by total shipments.</w:t>
            </w:r>
          </w:p>
        </w:tc>
      </w:tr>
      <w:tr>
        <w:tc>
          <w:tcPr>
            <w:tcW w:type="dxa" w:w="2592"/>
            <w:vAlign w:val="center"/>
          </w:tcPr>
          <w:p>
            <w:pPr>
              <w:spacing w:after="0"/>
            </w:pPr>
            <w:r>
              <w:rPr>
                <w:rFonts w:ascii="Calibri" w:hAnsi="Calibri"/>
                <w:sz w:val="20"/>
              </w:rPr>
            </w:r>
            <w:r>
              <w:rPr>
                <w:rFonts w:ascii="Calibri" w:hAnsi="Calibri"/>
                <w:b w:val="0"/>
                <w:sz w:val="20"/>
              </w:rPr>
              <w:t>Route Late %</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Late shipment percentage for an origin-to-destination route.</w:t>
            </w:r>
          </w:p>
        </w:tc>
      </w:tr>
      <w:tr>
        <w:tc>
          <w:tcPr>
            <w:tcW w:type="dxa" w:w="2592"/>
            <w:vAlign w:val="center"/>
          </w:tcPr>
          <w:p>
            <w:pPr>
              <w:spacing w:after="0"/>
            </w:pPr>
            <w:r>
              <w:rPr>
                <w:rFonts w:ascii="Calibri" w:hAnsi="Calibri"/>
                <w:sz w:val="20"/>
              </w:rPr>
            </w:r>
            <w:r>
              <w:rPr>
                <w:rFonts w:ascii="Calibri" w:hAnsi="Calibri"/>
                <w:b w:val="0"/>
                <w:sz w:val="20"/>
              </w:rPr>
              <w:t>Total Sales</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Total revenue generated from product/order records.</w:t>
            </w:r>
          </w:p>
        </w:tc>
      </w:tr>
      <w:tr>
        <w:tc>
          <w:tcPr>
            <w:tcW w:type="dxa" w:w="2592"/>
            <w:vAlign w:val="center"/>
          </w:tcPr>
          <w:p>
            <w:pPr>
              <w:spacing w:after="0"/>
            </w:pPr>
            <w:r>
              <w:rPr>
                <w:rFonts w:ascii="Calibri" w:hAnsi="Calibri"/>
                <w:sz w:val="20"/>
              </w:rPr>
            </w:r>
            <w:r>
              <w:rPr>
                <w:rFonts w:ascii="Calibri" w:hAnsi="Calibri"/>
                <w:b w:val="0"/>
                <w:sz w:val="20"/>
              </w:rPr>
              <w:t>Total Profit</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Total profit generated from product/order records.</w:t>
            </w:r>
          </w:p>
        </w:tc>
      </w:tr>
      <w:tr>
        <w:tc>
          <w:tcPr>
            <w:tcW w:type="dxa" w:w="2592"/>
            <w:vAlign w:val="center"/>
          </w:tcPr>
          <w:p>
            <w:pPr>
              <w:spacing w:after="0"/>
            </w:pPr>
            <w:r>
              <w:rPr>
                <w:rFonts w:ascii="Calibri" w:hAnsi="Calibri"/>
                <w:sz w:val="20"/>
              </w:rPr>
            </w:r>
            <w:r>
              <w:rPr>
                <w:rFonts w:ascii="Calibri" w:hAnsi="Calibri"/>
                <w:b w:val="0"/>
                <w:sz w:val="20"/>
              </w:rPr>
              <w:t>Average Sales per Order</w:t>
            </w:r>
          </w:p>
        </w:tc>
        <w:tc>
          <w:tcPr>
            <w:tcW w:type="dxa" w:w="1440"/>
            <w:vAlign w:val="center"/>
          </w:tcPr>
          <w:p>
            <w:pPr>
              <w:spacing w:after="0"/>
            </w:pPr>
            <w:r>
              <w:rPr>
                <w:rFonts w:ascii="Calibri" w:hAnsi="Calibri"/>
                <w:sz w:val="20"/>
              </w:rPr>
            </w:r>
            <w:r>
              <w:rPr>
                <w:rFonts w:ascii="Calibri" w:hAnsi="Calibri"/>
                <w:b w:val="0"/>
                <w:sz w:val="20"/>
              </w:rPr>
              <w:t>Measure</w:t>
            </w:r>
          </w:p>
        </w:tc>
        <w:tc>
          <w:tcPr>
            <w:tcW w:type="dxa" w:w="5328"/>
            <w:vAlign w:val="center"/>
          </w:tcPr>
          <w:p>
            <w:pPr>
              <w:spacing w:after="0"/>
            </w:pPr>
            <w:r>
              <w:rPr>
                <w:rFonts w:ascii="Calibri" w:hAnsi="Calibri"/>
                <w:sz w:val="20"/>
              </w:rPr>
            </w:r>
            <w:r>
              <w:rPr>
                <w:rFonts w:ascii="Calibri" w:hAnsi="Calibri"/>
                <w:b w:val="0"/>
                <w:sz w:val="20"/>
              </w:rPr>
              <w:t>Average sales amount per shipment/order.</w:t>
            </w:r>
          </w:p>
        </w:tc>
      </w:tr>
    </w:tbl>
    <w:p>
      <w:pPr>
        <w:pStyle w:val="Heading1"/>
      </w:pPr>
      <w:r>
        <w:t>SQL Validation</w:t>
      </w:r>
    </w:p>
    <w:p>
      <w:pPr>
        <w:pStyle w:val="BodyText"/>
      </w:pPr>
      <w:r>
        <w:t>SQL validation should be used to prove that the dashboard KPIs are not manually estimated. The goal is to compare Power BI totals with direct database queries. Use the actual table and column names from your MySQL database if they differ from the names below.</w:t>
      </w:r>
    </w:p>
    <w:tbl>
      <w:tblPr>
        <w:tblStyle w:val="TableGrid"/>
        <w:tblW w:type="auto" w:w="0"/>
        <w:jc w:val="center"/>
        <w:tblLayout w:type="fixed"/>
        <w:tblLook w:firstColumn="1" w:firstRow="1" w:lastColumn="0" w:lastRow="0" w:noHBand="0" w:noVBand="1" w:val="04A0"/>
      </w:tblPr>
      <w:tblGrid>
        <w:gridCol w:w="3168"/>
        <w:gridCol w:w="5904"/>
      </w:tblGrid>
      <w:tr>
        <w:tc>
          <w:tcPr>
            <w:tcW w:type="dxa" w:w="4680"/>
            <w:vAlign w:val="center"/>
            <w:shd w:fill="F2F4F7"/>
          </w:tcPr>
          <w:p>
            <w:pPr>
              <w:spacing w:after="0"/>
            </w:pPr>
            <w:r>
              <w:rPr>
                <w:rFonts w:ascii="Calibri" w:hAnsi="Calibri"/>
                <w:b/>
                <w:sz w:val="20"/>
              </w:rPr>
            </w:r>
            <w:r>
              <w:rPr>
                <w:rFonts w:ascii="Calibri" w:hAnsi="Calibri"/>
                <w:b/>
                <w:sz w:val="20"/>
              </w:rPr>
              <w:t>Validation Area</w:t>
            </w:r>
          </w:p>
        </w:tc>
        <w:tc>
          <w:tcPr>
            <w:tcW w:type="dxa" w:w="4680"/>
            <w:vAlign w:val="center"/>
            <w:shd w:fill="F2F4F7"/>
          </w:tcPr>
          <w:p>
            <w:pPr>
              <w:spacing w:after="0"/>
            </w:pPr>
            <w:r>
              <w:rPr>
                <w:rFonts w:ascii="Calibri" w:hAnsi="Calibri"/>
                <w:b/>
                <w:sz w:val="20"/>
              </w:rPr>
            </w:r>
            <w:r>
              <w:rPr>
                <w:rFonts w:ascii="Calibri" w:hAnsi="Calibri"/>
                <w:b/>
                <w:sz w:val="20"/>
              </w:rPr>
              <w:t>Expected Result / Known Value</w:t>
            </w:r>
          </w:p>
        </w:tc>
      </w:tr>
      <w:tr>
        <w:tc>
          <w:tcPr>
            <w:tcW w:type="dxa" w:w="3168"/>
            <w:vAlign w:val="center"/>
          </w:tcPr>
          <w:p>
            <w:pPr>
              <w:spacing w:after="0"/>
            </w:pPr>
            <w:r>
              <w:rPr>
                <w:rFonts w:ascii="Calibri" w:hAnsi="Calibri"/>
                <w:sz w:val="20"/>
              </w:rPr>
            </w:r>
            <w:r>
              <w:rPr>
                <w:rFonts w:ascii="Calibri" w:hAnsi="Calibri"/>
                <w:b w:val="0"/>
                <w:sz w:val="20"/>
              </w:rPr>
              <w:t>Total shipments</w:t>
            </w:r>
          </w:p>
        </w:tc>
        <w:tc>
          <w:tcPr>
            <w:tcW w:type="dxa" w:w="5904"/>
            <w:vAlign w:val="center"/>
          </w:tcPr>
          <w:p>
            <w:pPr>
              <w:spacing w:after="0"/>
            </w:pPr>
            <w:r>
              <w:rPr>
                <w:rFonts w:ascii="Calibri" w:hAnsi="Calibri"/>
                <w:sz w:val="20"/>
              </w:rPr>
            </w:r>
            <w:r>
              <w:rPr>
                <w:rFonts w:ascii="Calibri" w:hAnsi="Calibri"/>
                <w:b w:val="0"/>
                <w:sz w:val="20"/>
              </w:rPr>
              <w:t>180,519 records, displayed as 181K in Power BI.</w:t>
            </w:r>
          </w:p>
        </w:tc>
      </w:tr>
      <w:tr>
        <w:tc>
          <w:tcPr>
            <w:tcW w:type="dxa" w:w="3168"/>
            <w:vAlign w:val="center"/>
          </w:tcPr>
          <w:p>
            <w:pPr>
              <w:spacing w:after="0"/>
            </w:pPr>
            <w:r>
              <w:rPr>
                <w:rFonts w:ascii="Calibri" w:hAnsi="Calibri"/>
                <w:sz w:val="20"/>
              </w:rPr>
            </w:r>
            <w:r>
              <w:rPr>
                <w:rFonts w:ascii="Calibri" w:hAnsi="Calibri"/>
                <w:b w:val="0"/>
                <w:sz w:val="20"/>
              </w:rPr>
              <w:t>Late shipments</w:t>
            </w:r>
          </w:p>
        </w:tc>
        <w:tc>
          <w:tcPr>
            <w:tcW w:type="dxa" w:w="5904"/>
            <w:vAlign w:val="center"/>
          </w:tcPr>
          <w:p>
            <w:pPr>
              <w:spacing w:after="0"/>
            </w:pPr>
            <w:r>
              <w:rPr>
                <w:rFonts w:ascii="Calibri" w:hAnsi="Calibri"/>
                <w:sz w:val="20"/>
              </w:rPr>
            </w:r>
            <w:r>
              <w:rPr>
                <w:rFonts w:ascii="Calibri" w:hAnsi="Calibri"/>
                <w:b w:val="0"/>
                <w:sz w:val="20"/>
              </w:rPr>
              <w:t>98,977 records, displayed as 99K.</w:t>
            </w:r>
          </w:p>
        </w:tc>
      </w:tr>
      <w:tr>
        <w:tc>
          <w:tcPr>
            <w:tcW w:type="dxa" w:w="3168"/>
            <w:vAlign w:val="center"/>
          </w:tcPr>
          <w:p>
            <w:pPr>
              <w:spacing w:after="0"/>
            </w:pPr>
            <w:r>
              <w:rPr>
                <w:rFonts w:ascii="Calibri" w:hAnsi="Calibri"/>
                <w:sz w:val="20"/>
              </w:rPr>
            </w:r>
            <w:r>
              <w:rPr>
                <w:rFonts w:ascii="Calibri" w:hAnsi="Calibri"/>
                <w:b w:val="0"/>
                <w:sz w:val="20"/>
              </w:rPr>
              <w:t>On-time shipments</w:t>
            </w:r>
          </w:p>
        </w:tc>
        <w:tc>
          <w:tcPr>
            <w:tcW w:type="dxa" w:w="5904"/>
            <w:vAlign w:val="center"/>
          </w:tcPr>
          <w:p>
            <w:pPr>
              <w:spacing w:after="0"/>
            </w:pPr>
            <w:r>
              <w:rPr>
                <w:rFonts w:ascii="Calibri" w:hAnsi="Calibri"/>
                <w:sz w:val="20"/>
              </w:rPr>
            </w:r>
            <w:r>
              <w:rPr>
                <w:rFonts w:ascii="Calibri" w:hAnsi="Calibri"/>
                <w:b w:val="0"/>
                <w:sz w:val="20"/>
              </w:rPr>
              <w:t>32,226 records, displayed as 32K.</w:t>
            </w:r>
          </w:p>
        </w:tc>
      </w:tr>
      <w:tr>
        <w:tc>
          <w:tcPr>
            <w:tcW w:type="dxa" w:w="3168"/>
            <w:vAlign w:val="center"/>
          </w:tcPr>
          <w:p>
            <w:pPr>
              <w:spacing w:after="0"/>
            </w:pPr>
            <w:r>
              <w:rPr>
                <w:rFonts w:ascii="Calibri" w:hAnsi="Calibri"/>
                <w:sz w:val="20"/>
              </w:rPr>
            </w:r>
            <w:r>
              <w:rPr>
                <w:rFonts w:ascii="Calibri" w:hAnsi="Calibri"/>
                <w:b w:val="0"/>
                <w:sz w:val="20"/>
              </w:rPr>
              <w:t>High-risk shipments</w:t>
            </w:r>
          </w:p>
        </w:tc>
        <w:tc>
          <w:tcPr>
            <w:tcW w:type="dxa" w:w="5904"/>
            <w:vAlign w:val="center"/>
          </w:tcPr>
          <w:p>
            <w:pPr>
              <w:spacing w:after="0"/>
            </w:pPr>
            <w:r>
              <w:rPr>
                <w:rFonts w:ascii="Calibri" w:hAnsi="Calibri"/>
                <w:sz w:val="20"/>
              </w:rPr>
            </w:r>
            <w:r>
              <w:rPr>
                <w:rFonts w:ascii="Calibri" w:hAnsi="Calibri"/>
                <w:b w:val="0"/>
                <w:sz w:val="20"/>
              </w:rPr>
              <w:t>98,977 records, displayed as 99K.</w:t>
            </w:r>
          </w:p>
        </w:tc>
      </w:tr>
      <w:tr>
        <w:tc>
          <w:tcPr>
            <w:tcW w:type="dxa" w:w="3168"/>
            <w:vAlign w:val="center"/>
          </w:tcPr>
          <w:p>
            <w:pPr>
              <w:spacing w:after="0"/>
            </w:pPr>
            <w:r>
              <w:rPr>
                <w:rFonts w:ascii="Calibri" w:hAnsi="Calibri"/>
                <w:sz w:val="20"/>
              </w:rPr>
            </w:r>
            <w:r>
              <w:rPr>
                <w:rFonts w:ascii="Calibri" w:hAnsi="Calibri"/>
                <w:b w:val="0"/>
                <w:sz w:val="20"/>
              </w:rPr>
              <w:t>Average shipping days</w:t>
            </w:r>
          </w:p>
        </w:tc>
        <w:tc>
          <w:tcPr>
            <w:tcW w:type="dxa" w:w="5904"/>
            <w:vAlign w:val="center"/>
          </w:tcPr>
          <w:p>
            <w:pPr>
              <w:spacing w:after="0"/>
            </w:pPr>
            <w:r>
              <w:rPr>
                <w:rFonts w:ascii="Calibri" w:hAnsi="Calibri"/>
                <w:sz w:val="20"/>
              </w:rPr>
            </w:r>
            <w:r>
              <w:rPr>
                <w:rFonts w:ascii="Calibri" w:hAnsi="Calibri"/>
                <w:b w:val="0"/>
                <w:sz w:val="20"/>
              </w:rPr>
              <w:t>3.50.</w:t>
            </w:r>
          </w:p>
        </w:tc>
      </w:tr>
      <w:tr>
        <w:tc>
          <w:tcPr>
            <w:tcW w:type="dxa" w:w="3168"/>
            <w:vAlign w:val="center"/>
          </w:tcPr>
          <w:p>
            <w:pPr>
              <w:spacing w:after="0"/>
            </w:pPr>
            <w:r>
              <w:rPr>
                <w:rFonts w:ascii="Calibri" w:hAnsi="Calibri"/>
                <w:sz w:val="20"/>
              </w:rPr>
            </w:r>
            <w:r>
              <w:rPr>
                <w:rFonts w:ascii="Calibri" w:hAnsi="Calibri"/>
                <w:b w:val="0"/>
                <w:sz w:val="20"/>
              </w:rPr>
              <w:t>Shipping mode volume</w:t>
            </w:r>
          </w:p>
        </w:tc>
        <w:tc>
          <w:tcPr>
            <w:tcW w:type="dxa" w:w="5904"/>
            <w:vAlign w:val="center"/>
          </w:tcPr>
          <w:p>
            <w:pPr>
              <w:spacing w:after="0"/>
            </w:pPr>
            <w:r>
              <w:rPr>
                <w:rFonts w:ascii="Calibri" w:hAnsi="Calibri"/>
                <w:sz w:val="20"/>
              </w:rPr>
            </w:r>
            <w:r>
              <w:rPr>
                <w:rFonts w:ascii="Calibri" w:hAnsi="Calibri"/>
                <w:b w:val="0"/>
                <w:sz w:val="20"/>
              </w:rPr>
              <w:t>Standard Class 107,752; Second Class 35,216; First Class 27,814; Same Day 9,737.</w:t>
            </w:r>
          </w:p>
        </w:tc>
      </w:tr>
      <w:tr>
        <w:tc>
          <w:tcPr>
            <w:tcW w:type="dxa" w:w="3168"/>
            <w:vAlign w:val="center"/>
          </w:tcPr>
          <w:p>
            <w:pPr>
              <w:spacing w:after="0"/>
            </w:pPr>
            <w:r>
              <w:rPr>
                <w:rFonts w:ascii="Calibri" w:hAnsi="Calibri"/>
                <w:sz w:val="20"/>
              </w:rPr>
            </w:r>
            <w:r>
              <w:rPr>
                <w:rFonts w:ascii="Calibri" w:hAnsi="Calibri"/>
                <w:b w:val="0"/>
                <w:sz w:val="20"/>
              </w:rPr>
              <w:t>Customer segment totals</w:t>
            </w:r>
          </w:p>
        </w:tc>
        <w:tc>
          <w:tcPr>
            <w:tcW w:type="dxa" w:w="5904"/>
            <w:vAlign w:val="center"/>
          </w:tcPr>
          <w:p>
            <w:pPr>
              <w:spacing w:after="0"/>
            </w:pPr>
            <w:r>
              <w:rPr>
                <w:rFonts w:ascii="Calibri" w:hAnsi="Calibri"/>
                <w:sz w:val="20"/>
              </w:rPr>
            </w:r>
            <w:r>
              <w:rPr>
                <w:rFonts w:ascii="Calibri" w:hAnsi="Calibri"/>
                <w:b w:val="0"/>
                <w:sz w:val="20"/>
              </w:rPr>
              <w:t>Consumer 93,504; Corporate 54,789; Home Office 32,226.</w:t>
            </w:r>
          </w:p>
        </w:tc>
      </w:tr>
      <w:tr>
        <w:tc>
          <w:tcPr>
            <w:tcW w:type="dxa" w:w="3168"/>
            <w:vAlign w:val="center"/>
          </w:tcPr>
          <w:p>
            <w:pPr>
              <w:spacing w:after="0"/>
            </w:pPr>
            <w:r>
              <w:rPr>
                <w:rFonts w:ascii="Calibri" w:hAnsi="Calibri"/>
                <w:sz w:val="20"/>
              </w:rPr>
            </w:r>
            <w:r>
              <w:rPr>
                <w:rFonts w:ascii="Calibri" w:hAnsi="Calibri"/>
                <w:b w:val="0"/>
                <w:sz w:val="20"/>
              </w:rPr>
              <w:t>Sales and profit</w:t>
            </w:r>
          </w:p>
        </w:tc>
        <w:tc>
          <w:tcPr>
            <w:tcW w:type="dxa" w:w="5904"/>
            <w:vAlign w:val="center"/>
          </w:tcPr>
          <w:p>
            <w:pPr>
              <w:spacing w:after="0"/>
            </w:pPr>
            <w:r>
              <w:rPr>
                <w:rFonts w:ascii="Calibri" w:hAnsi="Calibri"/>
                <w:sz w:val="20"/>
              </w:rPr>
            </w:r>
            <w:r>
              <w:rPr>
                <w:rFonts w:ascii="Calibri" w:hAnsi="Calibri"/>
                <w:b w:val="0"/>
                <w:sz w:val="20"/>
              </w:rPr>
              <w:t>Total Sales 36,784,734.31; Total Profit 3,966,902.97; Average Sales per Order 559.45.</w:t>
            </w:r>
          </w:p>
        </w:tc>
      </w:tr>
    </w:tbl>
    <w:p>
      <w:pPr>
        <w:pStyle w:val="Heading2"/>
      </w:pPr>
      <w:r>
        <w:t>SQL Query Checklist</w:t>
      </w:r>
    </w:p>
    <w:p>
      <w:pPr>
        <w:pStyle w:val="ListBullet"/>
      </w:pPr>
      <w:r>
        <w:t>COUNT(*) for total shipment records.</w:t>
      </w:r>
    </w:p>
    <w:p>
      <w:pPr>
        <w:pStyle w:val="ListBullet"/>
      </w:pPr>
      <w:r>
        <w:t>Conditional count for late delivery records.</w:t>
      </w:r>
    </w:p>
    <w:p>
      <w:pPr>
        <w:pStyle w:val="ListBullet"/>
      </w:pPr>
      <w:r>
        <w:t>Conditional count for on-time delivery records.</w:t>
      </w:r>
    </w:p>
    <w:p>
      <w:pPr>
        <w:pStyle w:val="ListBullet"/>
      </w:pPr>
      <w:r>
        <w:t>AVG() for shipping days.</w:t>
      </w:r>
    </w:p>
    <w:p>
      <w:pPr>
        <w:pStyle w:val="ListBullet"/>
      </w:pPr>
      <w:r>
        <w:t>GROUP BY Shipping_Mode to validate mode-level shipment volume.</w:t>
      </w:r>
    </w:p>
    <w:p>
      <w:pPr>
        <w:pStyle w:val="ListBullet"/>
      </w:pPr>
      <w:r>
        <w:t>GROUP BY Order_Region to validate regional volume and late percentage.</w:t>
      </w:r>
    </w:p>
    <w:p>
      <w:pPr>
        <w:pStyle w:val="ListBullet"/>
      </w:pPr>
      <w:r>
        <w:t>GROUP BY Priority to validate priority performance.</w:t>
      </w:r>
    </w:p>
    <w:p>
      <w:pPr>
        <w:pStyle w:val="ListBullet"/>
      </w:pPr>
      <w:r>
        <w:t>GROUP BY Origin_Location and Destination_Location to validate high-risk routes.</w:t>
      </w:r>
    </w:p>
    <w:p>
      <w:pPr>
        <w:pStyle w:val="Heading1"/>
      </w:pPr>
      <w:r>
        <w:t>Python Validation</w:t>
      </w:r>
    </w:p>
    <w:p>
      <w:pPr>
        <w:pStyle w:val="BodyText"/>
      </w:pPr>
      <w:r>
        <w:t>Python validation acts as an independent check outside Power BI. It confirms the structure and quality of the CSV data before and after loading into the dashboard.</w:t>
      </w:r>
    </w:p>
    <w:tbl>
      <w:tblPr>
        <w:tblStyle w:val="TableGrid"/>
        <w:tblW w:type="auto" w:w="0"/>
        <w:jc w:val="center"/>
        <w:tblLayout w:type="fixed"/>
        <w:tblLook w:firstColumn="1" w:firstRow="1" w:lastColumn="0" w:lastRow="0" w:noHBand="0" w:noVBand="1" w:val="04A0"/>
      </w:tblPr>
      <w:tblGrid>
        <w:gridCol w:w="2592"/>
        <w:gridCol w:w="6624"/>
      </w:tblGrid>
      <w:tr>
        <w:tc>
          <w:tcPr>
            <w:tcW w:type="dxa" w:w="4680"/>
            <w:vAlign w:val="center"/>
            <w:shd w:fill="F2F4F7"/>
          </w:tcPr>
          <w:p>
            <w:pPr>
              <w:spacing w:after="0"/>
            </w:pPr>
            <w:r>
              <w:rPr>
                <w:rFonts w:ascii="Calibri" w:hAnsi="Calibri"/>
                <w:b/>
                <w:sz w:val="20"/>
              </w:rPr>
            </w:r>
            <w:r>
              <w:rPr>
                <w:rFonts w:ascii="Calibri" w:hAnsi="Calibri"/>
                <w:b/>
                <w:sz w:val="20"/>
              </w:rPr>
              <w:t>Python Check</w:t>
            </w:r>
          </w:p>
        </w:tc>
        <w:tc>
          <w:tcPr>
            <w:tcW w:type="dxa" w:w="4680"/>
            <w:vAlign w:val="center"/>
            <w:shd w:fill="F2F4F7"/>
          </w:tcPr>
          <w:p>
            <w:pPr>
              <w:spacing w:after="0"/>
            </w:pPr>
            <w:r>
              <w:rPr>
                <w:rFonts w:ascii="Calibri" w:hAnsi="Calibri"/>
                <w:b/>
                <w:sz w:val="20"/>
              </w:rPr>
            </w:r>
            <w:r>
              <w:rPr>
                <w:rFonts w:ascii="Calibri" w:hAnsi="Calibri"/>
                <w:b/>
                <w:sz w:val="20"/>
              </w:rPr>
              <w:t>What It Confirms</w:t>
            </w:r>
          </w:p>
        </w:tc>
      </w:tr>
      <w:tr>
        <w:tc>
          <w:tcPr>
            <w:tcW w:type="dxa" w:w="2592"/>
            <w:vAlign w:val="center"/>
          </w:tcPr>
          <w:p>
            <w:pPr>
              <w:spacing w:after="0"/>
            </w:pPr>
            <w:r>
              <w:rPr>
                <w:rFonts w:ascii="Calibri" w:hAnsi="Calibri"/>
                <w:sz w:val="20"/>
              </w:rPr>
            </w:r>
            <w:r>
              <w:rPr>
                <w:rFonts w:ascii="Calibri" w:hAnsi="Calibri"/>
                <w:b w:val="0"/>
                <w:sz w:val="20"/>
              </w:rPr>
              <w:t>Shape check</w:t>
            </w:r>
          </w:p>
        </w:tc>
        <w:tc>
          <w:tcPr>
            <w:tcW w:type="dxa" w:w="6624"/>
            <w:vAlign w:val="center"/>
          </w:tcPr>
          <w:p>
            <w:pPr>
              <w:spacing w:after="0"/>
            </w:pPr>
            <w:r>
              <w:rPr>
                <w:rFonts w:ascii="Calibri" w:hAnsi="Calibri"/>
                <w:sz w:val="20"/>
              </w:rPr>
            </w:r>
            <w:r>
              <w:rPr>
                <w:rFonts w:ascii="Calibri" w:hAnsi="Calibri"/>
                <w:b w:val="0"/>
                <w:sz w:val="20"/>
              </w:rPr>
              <w:t>Number of rows and columns loaded correctly.</w:t>
            </w:r>
          </w:p>
        </w:tc>
      </w:tr>
      <w:tr>
        <w:tc>
          <w:tcPr>
            <w:tcW w:type="dxa" w:w="2592"/>
            <w:vAlign w:val="center"/>
          </w:tcPr>
          <w:p>
            <w:pPr>
              <w:spacing w:after="0"/>
            </w:pPr>
            <w:r>
              <w:rPr>
                <w:rFonts w:ascii="Calibri" w:hAnsi="Calibri"/>
                <w:sz w:val="20"/>
              </w:rPr>
            </w:r>
            <w:r>
              <w:rPr>
                <w:rFonts w:ascii="Calibri" w:hAnsi="Calibri"/>
                <w:b w:val="0"/>
                <w:sz w:val="20"/>
              </w:rPr>
              <w:t>Column check</w:t>
            </w:r>
          </w:p>
        </w:tc>
        <w:tc>
          <w:tcPr>
            <w:tcW w:type="dxa" w:w="6624"/>
            <w:vAlign w:val="center"/>
          </w:tcPr>
          <w:p>
            <w:pPr>
              <w:spacing w:after="0"/>
            </w:pPr>
            <w:r>
              <w:rPr>
                <w:rFonts w:ascii="Calibri" w:hAnsi="Calibri"/>
                <w:sz w:val="20"/>
              </w:rPr>
            </w:r>
            <w:r>
              <w:rPr>
                <w:rFonts w:ascii="Calibri" w:hAnsi="Calibri"/>
                <w:b w:val="0"/>
                <w:sz w:val="20"/>
              </w:rPr>
              <w:t>Expected fields are present in Transportation and Product data.</w:t>
            </w:r>
          </w:p>
        </w:tc>
      </w:tr>
      <w:tr>
        <w:tc>
          <w:tcPr>
            <w:tcW w:type="dxa" w:w="2592"/>
            <w:vAlign w:val="center"/>
          </w:tcPr>
          <w:p>
            <w:pPr>
              <w:spacing w:after="0"/>
            </w:pPr>
            <w:r>
              <w:rPr>
                <w:rFonts w:ascii="Calibri" w:hAnsi="Calibri"/>
                <w:sz w:val="20"/>
              </w:rPr>
            </w:r>
            <w:r>
              <w:rPr>
                <w:rFonts w:ascii="Calibri" w:hAnsi="Calibri"/>
                <w:b w:val="0"/>
                <w:sz w:val="20"/>
              </w:rPr>
              <w:t>Null check</w:t>
            </w:r>
          </w:p>
        </w:tc>
        <w:tc>
          <w:tcPr>
            <w:tcW w:type="dxa" w:w="6624"/>
            <w:vAlign w:val="center"/>
          </w:tcPr>
          <w:p>
            <w:pPr>
              <w:spacing w:after="0"/>
            </w:pPr>
            <w:r>
              <w:rPr>
                <w:rFonts w:ascii="Calibri" w:hAnsi="Calibri"/>
                <w:sz w:val="20"/>
              </w:rPr>
            </w:r>
            <w:r>
              <w:rPr>
                <w:rFonts w:ascii="Calibri" w:hAnsi="Calibri"/>
                <w:b w:val="0"/>
                <w:sz w:val="20"/>
              </w:rPr>
              <w:t>Missing values are identified before reporting.</w:t>
            </w:r>
          </w:p>
        </w:tc>
      </w:tr>
      <w:tr>
        <w:tc>
          <w:tcPr>
            <w:tcW w:type="dxa" w:w="2592"/>
            <w:vAlign w:val="center"/>
          </w:tcPr>
          <w:p>
            <w:pPr>
              <w:spacing w:after="0"/>
            </w:pPr>
            <w:r>
              <w:rPr>
                <w:rFonts w:ascii="Calibri" w:hAnsi="Calibri"/>
                <w:sz w:val="20"/>
              </w:rPr>
            </w:r>
            <w:r>
              <w:rPr>
                <w:rFonts w:ascii="Calibri" w:hAnsi="Calibri"/>
                <w:b w:val="0"/>
                <w:sz w:val="20"/>
              </w:rPr>
              <w:t>Duplicate check</w:t>
            </w:r>
          </w:p>
        </w:tc>
        <w:tc>
          <w:tcPr>
            <w:tcW w:type="dxa" w:w="6624"/>
            <w:vAlign w:val="center"/>
          </w:tcPr>
          <w:p>
            <w:pPr>
              <w:spacing w:after="0"/>
            </w:pPr>
            <w:r>
              <w:rPr>
                <w:rFonts w:ascii="Calibri" w:hAnsi="Calibri"/>
                <w:sz w:val="20"/>
              </w:rPr>
            </w:r>
            <w:r>
              <w:rPr>
                <w:rFonts w:ascii="Calibri" w:hAnsi="Calibri"/>
                <w:b w:val="0"/>
                <w:sz w:val="20"/>
              </w:rPr>
              <w:t>Duplicate shipment or order rows are detected.</w:t>
            </w:r>
          </w:p>
        </w:tc>
      </w:tr>
      <w:tr>
        <w:tc>
          <w:tcPr>
            <w:tcW w:type="dxa" w:w="2592"/>
            <w:vAlign w:val="center"/>
          </w:tcPr>
          <w:p>
            <w:pPr>
              <w:spacing w:after="0"/>
            </w:pPr>
            <w:r>
              <w:rPr>
                <w:rFonts w:ascii="Calibri" w:hAnsi="Calibri"/>
                <w:sz w:val="20"/>
              </w:rPr>
            </w:r>
            <w:r>
              <w:rPr>
                <w:rFonts w:ascii="Calibri" w:hAnsi="Calibri"/>
                <w:b w:val="0"/>
                <w:sz w:val="20"/>
              </w:rPr>
              <w:t>Data type check</w:t>
            </w:r>
          </w:p>
        </w:tc>
        <w:tc>
          <w:tcPr>
            <w:tcW w:type="dxa" w:w="6624"/>
            <w:vAlign w:val="center"/>
          </w:tcPr>
          <w:p>
            <w:pPr>
              <w:spacing w:after="0"/>
            </w:pPr>
            <w:r>
              <w:rPr>
                <w:rFonts w:ascii="Calibri" w:hAnsi="Calibri"/>
                <w:sz w:val="20"/>
              </w:rPr>
            </w:r>
            <w:r>
              <w:rPr>
                <w:rFonts w:ascii="Calibri" w:hAnsi="Calibri"/>
                <w:b w:val="0"/>
                <w:sz w:val="20"/>
              </w:rPr>
              <w:t>Dates, numeric columns, text categories, sales, and profit fields are correctly typed.</w:t>
            </w:r>
          </w:p>
        </w:tc>
      </w:tr>
      <w:tr>
        <w:tc>
          <w:tcPr>
            <w:tcW w:type="dxa" w:w="2592"/>
            <w:vAlign w:val="center"/>
          </w:tcPr>
          <w:p>
            <w:pPr>
              <w:spacing w:after="0"/>
            </w:pPr>
            <w:r>
              <w:rPr>
                <w:rFonts w:ascii="Calibri" w:hAnsi="Calibri"/>
                <w:sz w:val="20"/>
              </w:rPr>
            </w:r>
            <w:r>
              <w:rPr>
                <w:rFonts w:ascii="Calibri" w:hAnsi="Calibri"/>
                <w:b w:val="0"/>
                <w:sz w:val="20"/>
              </w:rPr>
              <w:t>KPI recalculation</w:t>
            </w:r>
          </w:p>
        </w:tc>
        <w:tc>
          <w:tcPr>
            <w:tcW w:type="dxa" w:w="6624"/>
            <w:vAlign w:val="center"/>
          </w:tcPr>
          <w:p>
            <w:pPr>
              <w:spacing w:after="0"/>
            </w:pPr>
            <w:r>
              <w:rPr>
                <w:rFonts w:ascii="Calibri" w:hAnsi="Calibri"/>
                <w:sz w:val="20"/>
              </w:rPr>
            </w:r>
            <w:r>
              <w:rPr>
                <w:rFonts w:ascii="Calibri" w:hAnsi="Calibri"/>
                <w:b w:val="0"/>
                <w:sz w:val="20"/>
              </w:rPr>
              <w:t>Python totals match SQL and Power BI KPI cards.</w:t>
            </w:r>
          </w:p>
        </w:tc>
      </w:tr>
      <w:tr>
        <w:tc>
          <w:tcPr>
            <w:tcW w:type="dxa" w:w="2592"/>
            <w:vAlign w:val="center"/>
          </w:tcPr>
          <w:p>
            <w:pPr>
              <w:spacing w:after="0"/>
            </w:pPr>
            <w:r>
              <w:rPr>
                <w:rFonts w:ascii="Calibri" w:hAnsi="Calibri"/>
                <w:sz w:val="20"/>
              </w:rPr>
            </w:r>
            <w:r>
              <w:rPr>
                <w:rFonts w:ascii="Calibri" w:hAnsi="Calibri"/>
                <w:b w:val="0"/>
                <w:sz w:val="20"/>
              </w:rPr>
              <w:t>Category validation</w:t>
            </w:r>
          </w:p>
        </w:tc>
        <w:tc>
          <w:tcPr>
            <w:tcW w:type="dxa" w:w="6624"/>
            <w:vAlign w:val="center"/>
          </w:tcPr>
          <w:p>
            <w:pPr>
              <w:spacing w:after="0"/>
            </w:pPr>
            <w:r>
              <w:rPr>
                <w:rFonts w:ascii="Calibri" w:hAnsi="Calibri"/>
                <w:sz w:val="20"/>
              </w:rPr>
            </w:r>
            <w:r>
              <w:rPr>
                <w:rFonts w:ascii="Calibri" w:hAnsi="Calibri"/>
                <w:b w:val="0"/>
                <w:sz w:val="20"/>
              </w:rPr>
              <w:t>Shipping modes, delivery statuses, regions, priorities, and customer segments contain expected values.</w:t>
            </w:r>
          </w:p>
        </w:tc>
      </w:tr>
    </w:tbl>
    <w:p>
      <w:pPr>
        <w:pStyle w:val="Heading1"/>
      </w:pPr>
      <w:r>
        <w:t>Power BI Dashboard Explanation</w:t>
      </w:r>
    </w:p>
    <w:tbl>
      <w:tblPr>
        <w:tblStyle w:val="TableGrid"/>
        <w:tblW w:type="auto" w:w="0"/>
        <w:jc w:val="center"/>
        <w:tblLayout w:type="fixed"/>
        <w:tblLook w:firstColumn="1" w:firstRow="1" w:lastColumn="0" w:lastRow="0" w:noHBand="0" w:noVBand="1" w:val="04A0"/>
      </w:tblPr>
      <w:tblGrid>
        <w:gridCol w:w="2088"/>
        <w:gridCol w:w="2376"/>
        <w:gridCol w:w="4824"/>
      </w:tblGrid>
      <w:tr>
        <w:tc>
          <w:tcPr>
            <w:tcW w:type="dxa" w:w="3120"/>
            <w:vAlign w:val="center"/>
            <w:shd w:fill="F2F4F7"/>
          </w:tcPr>
          <w:p>
            <w:pPr>
              <w:spacing w:after="0"/>
            </w:pPr>
            <w:r>
              <w:rPr>
                <w:rFonts w:ascii="Calibri" w:hAnsi="Calibri"/>
                <w:b/>
                <w:sz w:val="20"/>
              </w:rPr>
            </w:r>
            <w:r>
              <w:rPr>
                <w:rFonts w:ascii="Calibri" w:hAnsi="Calibri"/>
                <w:b/>
                <w:sz w:val="20"/>
              </w:rPr>
              <w:t>Page</w:t>
            </w:r>
          </w:p>
        </w:tc>
        <w:tc>
          <w:tcPr>
            <w:tcW w:type="dxa" w:w="3120"/>
            <w:vAlign w:val="center"/>
            <w:shd w:fill="F2F4F7"/>
          </w:tcPr>
          <w:p>
            <w:pPr>
              <w:spacing w:after="0"/>
            </w:pPr>
            <w:r>
              <w:rPr>
                <w:rFonts w:ascii="Calibri" w:hAnsi="Calibri"/>
                <w:b/>
                <w:sz w:val="20"/>
              </w:rPr>
            </w:r>
            <w:r>
              <w:rPr>
                <w:rFonts w:ascii="Calibri" w:hAnsi="Calibri"/>
                <w:b/>
                <w:sz w:val="20"/>
              </w:rPr>
              <w:t>Purpose</w:t>
            </w:r>
          </w:p>
        </w:tc>
        <w:tc>
          <w:tcPr>
            <w:tcW w:type="dxa" w:w="3120"/>
            <w:vAlign w:val="center"/>
            <w:shd w:fill="F2F4F7"/>
          </w:tcPr>
          <w:p>
            <w:pPr>
              <w:spacing w:after="0"/>
            </w:pPr>
            <w:r>
              <w:rPr>
                <w:rFonts w:ascii="Calibri" w:hAnsi="Calibri"/>
                <w:b/>
                <w:sz w:val="20"/>
              </w:rPr>
            </w:r>
            <w:r>
              <w:rPr>
                <w:rFonts w:ascii="Calibri" w:hAnsi="Calibri"/>
                <w:b/>
                <w:sz w:val="20"/>
              </w:rPr>
              <w:t>Main Explanation</w:t>
            </w:r>
          </w:p>
        </w:tc>
      </w:tr>
      <w:tr>
        <w:tc>
          <w:tcPr>
            <w:tcW w:type="dxa" w:w="2088"/>
            <w:vAlign w:val="center"/>
          </w:tcPr>
          <w:p>
            <w:pPr>
              <w:spacing w:after="0"/>
            </w:pPr>
            <w:r>
              <w:rPr>
                <w:rFonts w:ascii="Calibri" w:hAnsi="Calibri"/>
                <w:sz w:val="20"/>
              </w:rPr>
            </w:r>
            <w:r>
              <w:rPr>
                <w:rFonts w:ascii="Calibri" w:hAnsi="Calibri"/>
                <w:b w:val="0"/>
                <w:sz w:val="20"/>
              </w:rPr>
              <w:t>1. Executive Overview</w:t>
            </w:r>
          </w:p>
        </w:tc>
        <w:tc>
          <w:tcPr>
            <w:tcW w:type="dxa" w:w="2376"/>
            <w:vAlign w:val="center"/>
          </w:tcPr>
          <w:p>
            <w:pPr>
              <w:spacing w:after="0"/>
            </w:pPr>
            <w:r>
              <w:rPr>
                <w:rFonts w:ascii="Calibri" w:hAnsi="Calibri"/>
                <w:sz w:val="20"/>
              </w:rPr>
            </w:r>
            <w:r>
              <w:rPr>
                <w:rFonts w:ascii="Calibri" w:hAnsi="Calibri"/>
                <w:b w:val="0"/>
                <w:sz w:val="20"/>
              </w:rPr>
              <w:t>High-level project summary</w:t>
            </w:r>
          </w:p>
        </w:tc>
        <w:tc>
          <w:tcPr>
            <w:tcW w:type="dxa" w:w="4824"/>
            <w:vAlign w:val="center"/>
          </w:tcPr>
          <w:p>
            <w:pPr>
              <w:spacing w:after="0"/>
            </w:pPr>
            <w:r>
              <w:rPr>
                <w:rFonts w:ascii="Calibri" w:hAnsi="Calibri"/>
                <w:sz w:val="20"/>
              </w:rPr>
            </w:r>
            <w:r>
              <w:rPr>
                <w:rFonts w:ascii="Calibri" w:hAnsi="Calibri"/>
                <w:b w:val="0"/>
                <w:sz w:val="20"/>
              </w:rPr>
              <w:t>Shows core KPIs and gives management a quick view of overall business and logistics performance.</w:t>
            </w:r>
          </w:p>
        </w:tc>
      </w:tr>
      <w:tr>
        <w:tc>
          <w:tcPr>
            <w:tcW w:type="dxa" w:w="2088"/>
            <w:vAlign w:val="center"/>
          </w:tcPr>
          <w:p>
            <w:pPr>
              <w:spacing w:after="0"/>
            </w:pPr>
            <w:r>
              <w:rPr>
                <w:rFonts w:ascii="Calibri" w:hAnsi="Calibri"/>
                <w:sz w:val="20"/>
              </w:rPr>
            </w:r>
            <w:r>
              <w:rPr>
                <w:rFonts w:ascii="Calibri" w:hAnsi="Calibri"/>
                <w:b w:val="0"/>
                <w:sz w:val="20"/>
              </w:rPr>
              <w:t>2. Transportation Performance</w:t>
            </w:r>
          </w:p>
        </w:tc>
        <w:tc>
          <w:tcPr>
            <w:tcW w:type="dxa" w:w="2376"/>
            <w:vAlign w:val="center"/>
          </w:tcPr>
          <w:p>
            <w:pPr>
              <w:spacing w:after="0"/>
            </w:pPr>
            <w:r>
              <w:rPr>
                <w:rFonts w:ascii="Calibri" w:hAnsi="Calibri"/>
                <w:sz w:val="20"/>
              </w:rPr>
            </w:r>
            <w:r>
              <w:rPr>
                <w:rFonts w:ascii="Calibri" w:hAnsi="Calibri"/>
                <w:b w:val="0"/>
                <w:sz w:val="20"/>
              </w:rPr>
              <w:t>Shipping mode and delivery performance</w:t>
            </w:r>
          </w:p>
        </w:tc>
        <w:tc>
          <w:tcPr>
            <w:tcW w:type="dxa" w:w="4824"/>
            <w:vAlign w:val="center"/>
          </w:tcPr>
          <w:p>
            <w:pPr>
              <w:spacing w:after="0"/>
            </w:pPr>
            <w:r>
              <w:rPr>
                <w:rFonts w:ascii="Calibri" w:hAnsi="Calibri"/>
                <w:sz w:val="20"/>
              </w:rPr>
            </w:r>
            <w:r>
              <w:rPr>
                <w:rFonts w:ascii="Calibri" w:hAnsi="Calibri"/>
                <w:b w:val="0"/>
                <w:sz w:val="20"/>
              </w:rPr>
              <w:t>Compares shipment counts, average shipping days, and performance across transportation methods.</w:t>
            </w:r>
          </w:p>
        </w:tc>
      </w:tr>
      <w:tr>
        <w:tc>
          <w:tcPr>
            <w:tcW w:type="dxa" w:w="2088"/>
            <w:vAlign w:val="center"/>
          </w:tcPr>
          <w:p>
            <w:pPr>
              <w:spacing w:after="0"/>
            </w:pPr>
            <w:r>
              <w:rPr>
                <w:rFonts w:ascii="Calibri" w:hAnsi="Calibri"/>
                <w:sz w:val="20"/>
              </w:rPr>
            </w:r>
            <w:r>
              <w:rPr>
                <w:rFonts w:ascii="Calibri" w:hAnsi="Calibri"/>
                <w:b w:val="0"/>
                <w:sz w:val="20"/>
              </w:rPr>
              <w:t>3. Route &amp; Geographic Analysis</w:t>
            </w:r>
          </w:p>
        </w:tc>
        <w:tc>
          <w:tcPr>
            <w:tcW w:type="dxa" w:w="2376"/>
            <w:vAlign w:val="center"/>
          </w:tcPr>
          <w:p>
            <w:pPr>
              <w:spacing w:after="0"/>
            </w:pPr>
            <w:r>
              <w:rPr>
                <w:rFonts w:ascii="Calibri" w:hAnsi="Calibri"/>
                <w:sz w:val="20"/>
              </w:rPr>
            </w:r>
            <w:r>
              <w:rPr>
                <w:rFonts w:ascii="Calibri" w:hAnsi="Calibri"/>
                <w:b w:val="0"/>
                <w:sz w:val="20"/>
              </w:rPr>
              <w:t>Regional and route-level analysis</w:t>
            </w:r>
          </w:p>
        </w:tc>
        <w:tc>
          <w:tcPr>
            <w:tcW w:type="dxa" w:w="4824"/>
            <w:vAlign w:val="center"/>
          </w:tcPr>
          <w:p>
            <w:pPr>
              <w:spacing w:after="0"/>
            </w:pPr>
            <w:r>
              <w:rPr>
                <w:rFonts w:ascii="Calibri" w:hAnsi="Calibri"/>
                <w:sz w:val="20"/>
              </w:rPr>
            </w:r>
            <w:r>
              <w:rPr>
                <w:rFonts w:ascii="Calibri" w:hAnsi="Calibri"/>
                <w:b w:val="0"/>
                <w:sz w:val="20"/>
              </w:rPr>
              <w:t>Identifies shipment patterns by region and highlights origin-destination route behavior.</w:t>
            </w:r>
          </w:p>
        </w:tc>
      </w:tr>
      <w:tr>
        <w:tc>
          <w:tcPr>
            <w:tcW w:type="dxa" w:w="2088"/>
            <w:vAlign w:val="center"/>
          </w:tcPr>
          <w:p>
            <w:pPr>
              <w:spacing w:after="0"/>
            </w:pPr>
            <w:r>
              <w:rPr>
                <w:rFonts w:ascii="Calibri" w:hAnsi="Calibri"/>
                <w:sz w:val="20"/>
              </w:rPr>
            </w:r>
            <w:r>
              <w:rPr>
                <w:rFonts w:ascii="Calibri" w:hAnsi="Calibri"/>
                <w:b w:val="0"/>
                <w:sz w:val="20"/>
              </w:rPr>
              <w:t>4. Sales &amp; Customer Analysis</w:t>
            </w:r>
          </w:p>
        </w:tc>
        <w:tc>
          <w:tcPr>
            <w:tcW w:type="dxa" w:w="2376"/>
            <w:vAlign w:val="center"/>
          </w:tcPr>
          <w:p>
            <w:pPr>
              <w:spacing w:after="0"/>
            </w:pPr>
            <w:r>
              <w:rPr>
                <w:rFonts w:ascii="Calibri" w:hAnsi="Calibri"/>
                <w:sz w:val="20"/>
              </w:rPr>
            </w:r>
            <w:r>
              <w:rPr>
                <w:rFonts w:ascii="Calibri" w:hAnsi="Calibri"/>
                <w:b w:val="0"/>
                <w:sz w:val="20"/>
              </w:rPr>
              <w:t>Product and customer contribution</w:t>
            </w:r>
          </w:p>
        </w:tc>
        <w:tc>
          <w:tcPr>
            <w:tcW w:type="dxa" w:w="4824"/>
            <w:vAlign w:val="center"/>
          </w:tcPr>
          <w:p>
            <w:pPr>
              <w:spacing w:after="0"/>
            </w:pPr>
            <w:r>
              <w:rPr>
                <w:rFonts w:ascii="Calibri" w:hAnsi="Calibri"/>
                <w:sz w:val="20"/>
              </w:rPr>
            </w:r>
            <w:r>
              <w:rPr>
                <w:rFonts w:ascii="Calibri" w:hAnsi="Calibri"/>
                <w:b w:val="0"/>
                <w:sz w:val="20"/>
              </w:rPr>
              <w:t>Shows total sales, total profit, product category performance, top products, and customer segment totals.</w:t>
            </w:r>
          </w:p>
        </w:tc>
      </w:tr>
      <w:tr>
        <w:tc>
          <w:tcPr>
            <w:tcW w:type="dxa" w:w="2088"/>
            <w:vAlign w:val="center"/>
          </w:tcPr>
          <w:p>
            <w:pPr>
              <w:spacing w:after="0"/>
            </w:pPr>
            <w:r>
              <w:rPr>
                <w:rFonts w:ascii="Calibri" w:hAnsi="Calibri"/>
                <w:sz w:val="20"/>
              </w:rPr>
            </w:r>
            <w:r>
              <w:rPr>
                <w:rFonts w:ascii="Calibri" w:hAnsi="Calibri"/>
                <w:b w:val="0"/>
                <w:sz w:val="20"/>
              </w:rPr>
              <w:t>5. Delivery &amp; Risk Analysis</w:t>
            </w:r>
          </w:p>
        </w:tc>
        <w:tc>
          <w:tcPr>
            <w:tcW w:type="dxa" w:w="2376"/>
            <w:vAlign w:val="center"/>
          </w:tcPr>
          <w:p>
            <w:pPr>
              <w:spacing w:after="0"/>
            </w:pPr>
            <w:r>
              <w:rPr>
                <w:rFonts w:ascii="Calibri" w:hAnsi="Calibri"/>
                <w:sz w:val="20"/>
              </w:rPr>
            </w:r>
            <w:r>
              <w:rPr>
                <w:rFonts w:ascii="Calibri" w:hAnsi="Calibri"/>
                <w:b w:val="0"/>
                <w:sz w:val="20"/>
              </w:rPr>
              <w:t>Late delivery and high-risk monitoring</w:t>
            </w:r>
          </w:p>
        </w:tc>
        <w:tc>
          <w:tcPr>
            <w:tcW w:type="dxa" w:w="4824"/>
            <w:vAlign w:val="center"/>
          </w:tcPr>
          <w:p>
            <w:pPr>
              <w:spacing w:after="0"/>
            </w:pPr>
            <w:r>
              <w:rPr>
                <w:rFonts w:ascii="Calibri" w:hAnsi="Calibri"/>
                <w:sz w:val="20"/>
              </w:rPr>
            </w:r>
            <w:r>
              <w:rPr>
                <w:rFonts w:ascii="Calibri" w:hAnsi="Calibri"/>
                <w:b w:val="0"/>
                <w:sz w:val="20"/>
              </w:rPr>
              <w:t>Focuses on late shipments, high-risk shipments, delivery status, shipping mode risk, regional risk, and high-risk routes.</w:t>
            </w:r>
          </w:p>
        </w:tc>
      </w:tr>
      <w:tr>
        <w:tc>
          <w:tcPr>
            <w:tcW w:type="dxa" w:w="2088"/>
            <w:vAlign w:val="center"/>
          </w:tcPr>
          <w:p>
            <w:pPr>
              <w:spacing w:after="0"/>
            </w:pPr>
            <w:r>
              <w:rPr>
                <w:rFonts w:ascii="Calibri" w:hAnsi="Calibri"/>
                <w:sz w:val="20"/>
              </w:rPr>
            </w:r>
            <w:r>
              <w:rPr>
                <w:rFonts w:ascii="Calibri" w:hAnsi="Calibri"/>
                <w:b w:val="0"/>
                <w:sz w:val="20"/>
              </w:rPr>
              <w:t>6. Management &amp; Operational Summary</w:t>
            </w:r>
          </w:p>
        </w:tc>
        <w:tc>
          <w:tcPr>
            <w:tcW w:type="dxa" w:w="2376"/>
            <w:vAlign w:val="center"/>
          </w:tcPr>
          <w:p>
            <w:pPr>
              <w:spacing w:after="0"/>
            </w:pPr>
            <w:r>
              <w:rPr>
                <w:rFonts w:ascii="Calibri" w:hAnsi="Calibri"/>
                <w:sz w:val="20"/>
              </w:rPr>
            </w:r>
            <w:r>
              <w:rPr>
                <w:rFonts w:ascii="Calibri" w:hAnsi="Calibri"/>
                <w:b w:val="0"/>
                <w:sz w:val="20"/>
              </w:rPr>
              <w:t>Decision-focused final page</w:t>
            </w:r>
          </w:p>
        </w:tc>
        <w:tc>
          <w:tcPr>
            <w:tcW w:type="dxa" w:w="4824"/>
            <w:vAlign w:val="center"/>
          </w:tcPr>
          <w:p>
            <w:pPr>
              <w:spacing w:after="0"/>
            </w:pPr>
            <w:r>
              <w:rPr>
                <w:rFonts w:ascii="Calibri" w:hAnsi="Calibri"/>
                <w:sz w:val="20"/>
              </w:rPr>
            </w:r>
            <w:r>
              <w:rPr>
                <w:rFonts w:ascii="Calibri" w:hAnsi="Calibri"/>
                <w:b w:val="0"/>
                <w:sz w:val="20"/>
              </w:rPr>
              <w:t>Combines KPIs, regional late shipment percentage, transportation status, shipment volume by region, priority performance, and shipping mode performance.</w:t>
            </w:r>
          </w:p>
        </w:tc>
      </w:tr>
    </w:tbl>
    <w:p>
      <w:pPr>
        <w:pStyle w:val="Heading1"/>
      </w:pPr>
      <w:r>
        <w:t>Key Findings And Business Insights</w:t>
      </w:r>
    </w:p>
    <w:p>
      <w:pPr>
        <w:pStyle w:val="ListBullet"/>
      </w:pPr>
      <w:r>
        <w:t>Total shipment volume is 180,519, shown as approximately 181K in the dashboard.</w:t>
      </w:r>
    </w:p>
    <w:p>
      <w:pPr>
        <w:pStyle w:val="ListBullet"/>
      </w:pPr>
      <w:r>
        <w:t>Late shipments are high at 98,977, meaning delay management is a major operational concern.</w:t>
      </w:r>
    </w:p>
    <w:p>
      <w:pPr>
        <w:pStyle w:val="ListBullet"/>
      </w:pPr>
      <w:r>
        <w:t>High-risk shipments are also 98,977, so the risk definition appears closely aligned with late delivery behavior.</w:t>
      </w:r>
    </w:p>
    <w:p>
      <w:pPr>
        <w:pStyle w:val="ListBullet"/>
      </w:pPr>
      <w:r>
        <w:t>Average shipping time is 3.50 days, which gives management a baseline for comparing regions, modes, and priority levels.</w:t>
      </w:r>
    </w:p>
    <w:p>
      <w:pPr>
        <w:pStyle w:val="ListBullet"/>
      </w:pPr>
      <w:r>
        <w:t>Standard Class has the largest shipment volume at 107,752, so even small improvements in this mode can create a large operational impact.</w:t>
      </w:r>
    </w:p>
    <w:p>
      <w:pPr>
        <w:pStyle w:val="ListBullet"/>
      </w:pPr>
      <w:r>
        <w:t>Second Class has 35,216 shipments, First Class has 27,814, and Same Day has 9,737, giving a clear mode-level volume ranking.</w:t>
      </w:r>
    </w:p>
    <w:p>
      <w:pPr>
        <w:pStyle w:val="ListBullet"/>
      </w:pPr>
      <w:r>
        <w:t>High-priority shipments show 98,977 total, 98,977 late, and 98,977 high-risk shipments in the final page review. This should be presented as an important business finding and verified carefully, not hidden.</w:t>
      </w:r>
    </w:p>
    <w:p>
      <w:pPr>
        <w:pStyle w:val="ListBullet"/>
      </w:pPr>
      <w:r>
        <w:t>Consumer customers contribute the highest shipment volume and sales among the listed customer segments, followed by Corporate and Home Office.</w:t>
      </w:r>
    </w:p>
    <w:p>
      <w:pPr>
        <w:pStyle w:val="ListBullet"/>
      </w:pPr>
      <w:r>
        <w:t>Route-level analysis is useful because some routes show a Route Late % of 1.00, meaning 100% late shipments for those route combinations.</w:t>
      </w:r>
    </w:p>
    <w:p>
      <w:pPr>
        <w:pStyle w:val="Heading1"/>
      </w:pPr>
      <w:r>
        <w:t>Limitations</w:t>
      </w:r>
    </w:p>
    <w:p>
      <w:pPr>
        <w:pStyle w:val="ListBullet"/>
      </w:pPr>
      <w:r>
        <w:t>The dashboard depends on the accuracy of the source CSV files and the imported MySQL tables.</w:t>
      </w:r>
    </w:p>
    <w:p>
      <w:pPr>
        <w:pStyle w:val="ListBullet"/>
      </w:pPr>
      <w:r>
        <w:t>Some fields may use naming conventions from the dataset rather than from a live enterprise system.</w:t>
      </w:r>
    </w:p>
    <w:p>
      <w:pPr>
        <w:pStyle w:val="ListBullet"/>
      </w:pPr>
      <w:r>
        <w:t>High-risk classification depends on the rule used in the existing measure; if the business changes that definition, the results may change.</w:t>
      </w:r>
    </w:p>
    <w:p>
      <w:pPr>
        <w:pStyle w:val="ListBullet"/>
      </w:pPr>
      <w:r>
        <w:t>The analysis explains historical performance and does not automatically predict future delays unless a forecasting model is added.</w:t>
      </w:r>
    </w:p>
    <w:p>
      <w:pPr>
        <w:pStyle w:val="ListBullet"/>
      </w:pPr>
      <w:r>
        <w:t>The dashboard does not include real-time carrier tracking or external logistics cost data.</w:t>
      </w:r>
    </w:p>
    <w:p>
      <w:pPr>
        <w:pStyle w:val="Heading1"/>
      </w:pPr>
      <w:r>
        <w:t>Conclusion</w:t>
      </w:r>
    </w:p>
    <w:p>
      <w:pPr>
        <w:pStyle w:val="BodyText"/>
      </w:pPr>
      <w:r>
        <w:t>The Supply Chain Management project successfully converts raw transportation and product data into a validated analytics workflow. SQL and Python are used to confirm the reliability of the data, while Power BI converts the validated information into a six-page dashboard for decision-making.</w:t>
      </w:r>
    </w:p>
    <w:p>
      <w:pPr>
        <w:pStyle w:val="BodyText"/>
      </w:pPr>
      <w:r>
        <w:t>The strongest business message is that late and high-risk shipments represent a major operational issue, especially for high-priority shipments and selected routes. Management should use the dashboard to monitor regions, routes, priority levels, and shipping modes, then focus improvement efforts where delays are most frequent or most severe.</w:t>
      </w:r>
    </w:p>
    <w:p>
      <w:pPr>
        <w:pStyle w:val="Heading1"/>
      </w:pPr>
      <w:r>
        <w:t>Presentation Package</w:t>
      </w:r>
    </w:p>
    <w:p>
      <w:pPr>
        <w:pStyle w:val="BodyText"/>
      </w:pPr>
      <w:r>
        <w:t>Use this slide sequence for your project presentation. Keep the Power BI screenshots as the main visual evidence. Do not show DAX formulas unless the examiner specifically asks.</w:t>
      </w:r>
    </w:p>
    <w:tbl>
      <w:tblPr>
        <w:tblStyle w:val="TableGrid"/>
        <w:tblW w:type="auto" w:w="0"/>
        <w:jc w:val="center"/>
        <w:tblLayout w:type="fixed"/>
        <w:tblLook w:firstColumn="1" w:firstRow="1" w:lastColumn="0" w:lastRow="0" w:noHBand="0" w:noVBand="1" w:val="04A0"/>
      </w:tblPr>
      <w:tblGrid>
        <w:gridCol w:w="936"/>
        <w:gridCol w:w="2736"/>
        <w:gridCol w:w="5616"/>
      </w:tblGrid>
      <w:tr>
        <w:tc>
          <w:tcPr>
            <w:tcW w:type="dxa" w:w="3120"/>
            <w:vAlign w:val="center"/>
            <w:shd w:fill="F2F4F7"/>
          </w:tcPr>
          <w:p>
            <w:pPr>
              <w:spacing w:after="0"/>
            </w:pPr>
            <w:r>
              <w:rPr>
                <w:rFonts w:ascii="Calibri" w:hAnsi="Calibri"/>
                <w:b/>
                <w:sz w:val="20"/>
              </w:rPr>
            </w:r>
            <w:r>
              <w:rPr>
                <w:rFonts w:ascii="Calibri" w:hAnsi="Calibri"/>
                <w:b/>
                <w:sz w:val="20"/>
              </w:rPr>
              <w:t>Slide</w:t>
            </w:r>
          </w:p>
        </w:tc>
        <w:tc>
          <w:tcPr>
            <w:tcW w:type="dxa" w:w="3120"/>
            <w:vAlign w:val="center"/>
            <w:shd w:fill="F2F4F7"/>
          </w:tcPr>
          <w:p>
            <w:pPr>
              <w:spacing w:after="0"/>
            </w:pPr>
            <w:r>
              <w:rPr>
                <w:rFonts w:ascii="Calibri" w:hAnsi="Calibri"/>
                <w:b/>
                <w:sz w:val="20"/>
              </w:rPr>
            </w:r>
            <w:r>
              <w:rPr>
                <w:rFonts w:ascii="Calibri" w:hAnsi="Calibri"/>
                <w:b/>
                <w:sz w:val="20"/>
              </w:rPr>
              <w:t>Title</w:t>
            </w:r>
          </w:p>
        </w:tc>
        <w:tc>
          <w:tcPr>
            <w:tcW w:type="dxa" w:w="3120"/>
            <w:vAlign w:val="center"/>
            <w:shd w:fill="F2F4F7"/>
          </w:tcPr>
          <w:p>
            <w:pPr>
              <w:spacing w:after="0"/>
            </w:pPr>
            <w:r>
              <w:rPr>
                <w:rFonts w:ascii="Calibri" w:hAnsi="Calibri"/>
                <w:b/>
                <w:sz w:val="20"/>
              </w:rPr>
            </w:r>
            <w:r>
              <w:rPr>
                <w:rFonts w:ascii="Calibri" w:hAnsi="Calibri"/>
                <w:b/>
                <w:sz w:val="20"/>
              </w:rPr>
              <w:t>What To Say</w:t>
            </w:r>
          </w:p>
        </w:tc>
      </w:tr>
      <w:tr>
        <w:tc>
          <w:tcPr>
            <w:tcW w:type="dxa" w:w="936"/>
            <w:vAlign w:val="center"/>
          </w:tcPr>
          <w:p>
            <w:pPr>
              <w:spacing w:after="0"/>
            </w:pPr>
            <w:r>
              <w:rPr>
                <w:rFonts w:ascii="Calibri" w:hAnsi="Calibri"/>
                <w:sz w:val="20"/>
              </w:rPr>
            </w:r>
            <w:r>
              <w:rPr>
                <w:rFonts w:ascii="Calibri" w:hAnsi="Calibri"/>
                <w:b w:val="0"/>
                <w:sz w:val="20"/>
              </w:rPr>
              <w:t>1</w:t>
            </w:r>
          </w:p>
        </w:tc>
        <w:tc>
          <w:tcPr>
            <w:tcW w:type="dxa" w:w="2736"/>
            <w:vAlign w:val="center"/>
          </w:tcPr>
          <w:p>
            <w:pPr>
              <w:spacing w:after="0"/>
            </w:pPr>
            <w:r>
              <w:rPr>
                <w:rFonts w:ascii="Calibri" w:hAnsi="Calibri"/>
                <w:sz w:val="20"/>
              </w:rPr>
            </w:r>
            <w:r>
              <w:rPr>
                <w:rFonts w:ascii="Calibri" w:hAnsi="Calibri"/>
                <w:b w:val="0"/>
                <w:sz w:val="20"/>
              </w:rPr>
              <w:t>Supply Chain Management Dashboard</w:t>
            </w:r>
          </w:p>
        </w:tc>
        <w:tc>
          <w:tcPr>
            <w:tcW w:type="dxa" w:w="5616"/>
            <w:vAlign w:val="center"/>
          </w:tcPr>
          <w:p>
            <w:pPr>
              <w:spacing w:after="0"/>
            </w:pPr>
            <w:r>
              <w:rPr>
                <w:rFonts w:ascii="Calibri" w:hAnsi="Calibri"/>
                <w:sz w:val="20"/>
              </w:rPr>
            </w:r>
            <w:r>
              <w:rPr>
                <w:rFonts w:ascii="Calibri" w:hAnsi="Calibri"/>
                <w:b w:val="0"/>
                <w:sz w:val="20"/>
              </w:rPr>
              <w:t>Introduce the project objective: analyzing logistics, delivery risk, sales, and operational performance using MySQL, Python, and Power BI.</w:t>
            </w:r>
          </w:p>
        </w:tc>
      </w:tr>
      <w:tr>
        <w:tc>
          <w:tcPr>
            <w:tcW w:type="dxa" w:w="936"/>
            <w:vAlign w:val="center"/>
          </w:tcPr>
          <w:p>
            <w:pPr>
              <w:spacing w:after="0"/>
            </w:pPr>
            <w:r>
              <w:rPr>
                <w:rFonts w:ascii="Calibri" w:hAnsi="Calibri"/>
                <w:sz w:val="20"/>
              </w:rPr>
            </w:r>
            <w:r>
              <w:rPr>
                <w:rFonts w:ascii="Calibri" w:hAnsi="Calibri"/>
                <w:b w:val="0"/>
                <w:sz w:val="20"/>
              </w:rPr>
              <w:t>2</w:t>
            </w:r>
          </w:p>
        </w:tc>
        <w:tc>
          <w:tcPr>
            <w:tcW w:type="dxa" w:w="2736"/>
            <w:vAlign w:val="center"/>
          </w:tcPr>
          <w:p>
            <w:pPr>
              <w:spacing w:after="0"/>
            </w:pPr>
            <w:r>
              <w:rPr>
                <w:rFonts w:ascii="Calibri" w:hAnsi="Calibri"/>
                <w:sz w:val="20"/>
              </w:rPr>
            </w:r>
            <w:r>
              <w:rPr>
                <w:rFonts w:ascii="Calibri" w:hAnsi="Calibri"/>
                <w:b w:val="0"/>
                <w:sz w:val="20"/>
              </w:rPr>
              <w:t>Business Problem</w:t>
            </w:r>
          </w:p>
        </w:tc>
        <w:tc>
          <w:tcPr>
            <w:tcW w:type="dxa" w:w="5616"/>
            <w:vAlign w:val="center"/>
          </w:tcPr>
          <w:p>
            <w:pPr>
              <w:spacing w:after="0"/>
            </w:pPr>
            <w:r>
              <w:rPr>
                <w:rFonts w:ascii="Calibri" w:hAnsi="Calibri"/>
                <w:sz w:val="20"/>
              </w:rPr>
            </w:r>
            <w:r>
              <w:rPr>
                <w:rFonts w:ascii="Calibri" w:hAnsi="Calibri"/>
                <w:b w:val="0"/>
                <w:sz w:val="20"/>
              </w:rPr>
              <w:t>Explain that supply chain teams need visibility into late shipments, high-risk routes, shipping modes, and regional performance.</w:t>
            </w:r>
          </w:p>
        </w:tc>
      </w:tr>
      <w:tr>
        <w:tc>
          <w:tcPr>
            <w:tcW w:type="dxa" w:w="936"/>
            <w:vAlign w:val="center"/>
          </w:tcPr>
          <w:p>
            <w:pPr>
              <w:spacing w:after="0"/>
            </w:pPr>
            <w:r>
              <w:rPr>
                <w:rFonts w:ascii="Calibri" w:hAnsi="Calibri"/>
                <w:sz w:val="20"/>
              </w:rPr>
            </w:r>
            <w:r>
              <w:rPr>
                <w:rFonts w:ascii="Calibri" w:hAnsi="Calibri"/>
                <w:b w:val="0"/>
                <w:sz w:val="20"/>
              </w:rPr>
              <w:t>3</w:t>
            </w:r>
          </w:p>
        </w:tc>
        <w:tc>
          <w:tcPr>
            <w:tcW w:type="dxa" w:w="2736"/>
            <w:vAlign w:val="center"/>
          </w:tcPr>
          <w:p>
            <w:pPr>
              <w:spacing w:after="0"/>
            </w:pPr>
            <w:r>
              <w:rPr>
                <w:rFonts w:ascii="Calibri" w:hAnsi="Calibri"/>
                <w:sz w:val="20"/>
              </w:rPr>
            </w:r>
            <w:r>
              <w:rPr>
                <w:rFonts w:ascii="Calibri" w:hAnsi="Calibri"/>
                <w:b w:val="0"/>
                <w:sz w:val="20"/>
              </w:rPr>
              <w:t>Data And Tools</w:t>
            </w:r>
          </w:p>
        </w:tc>
        <w:tc>
          <w:tcPr>
            <w:tcW w:type="dxa" w:w="5616"/>
            <w:vAlign w:val="center"/>
          </w:tcPr>
          <w:p>
            <w:pPr>
              <w:spacing w:after="0"/>
            </w:pPr>
            <w:r>
              <w:rPr>
                <w:rFonts w:ascii="Calibri" w:hAnsi="Calibri"/>
                <w:sz w:val="20"/>
              </w:rPr>
            </w:r>
            <w:r>
              <w:rPr>
                <w:rFonts w:ascii="Calibri" w:hAnsi="Calibri"/>
                <w:b w:val="0"/>
                <w:sz w:val="20"/>
              </w:rPr>
              <w:t>Mention Transportation and Product data, MySQL validation, Python validation, and Power BI dashboarding.</w:t>
            </w:r>
          </w:p>
        </w:tc>
      </w:tr>
      <w:tr>
        <w:tc>
          <w:tcPr>
            <w:tcW w:type="dxa" w:w="936"/>
            <w:vAlign w:val="center"/>
          </w:tcPr>
          <w:p>
            <w:pPr>
              <w:spacing w:after="0"/>
            </w:pPr>
            <w:r>
              <w:rPr>
                <w:rFonts w:ascii="Calibri" w:hAnsi="Calibri"/>
                <w:sz w:val="20"/>
              </w:rPr>
            </w:r>
            <w:r>
              <w:rPr>
                <w:rFonts w:ascii="Calibri" w:hAnsi="Calibri"/>
                <w:b w:val="0"/>
                <w:sz w:val="20"/>
              </w:rPr>
              <w:t>4</w:t>
            </w:r>
          </w:p>
        </w:tc>
        <w:tc>
          <w:tcPr>
            <w:tcW w:type="dxa" w:w="2736"/>
            <w:vAlign w:val="center"/>
          </w:tcPr>
          <w:p>
            <w:pPr>
              <w:spacing w:after="0"/>
            </w:pPr>
            <w:r>
              <w:rPr>
                <w:rFonts w:ascii="Calibri" w:hAnsi="Calibri"/>
                <w:sz w:val="20"/>
              </w:rPr>
            </w:r>
            <w:r>
              <w:rPr>
                <w:rFonts w:ascii="Calibri" w:hAnsi="Calibri"/>
                <w:b w:val="0"/>
                <w:sz w:val="20"/>
              </w:rPr>
              <w:t>Process Flow</w:t>
            </w:r>
          </w:p>
        </w:tc>
        <w:tc>
          <w:tcPr>
            <w:tcW w:type="dxa" w:w="5616"/>
            <w:vAlign w:val="center"/>
          </w:tcPr>
          <w:p>
            <w:pPr>
              <w:spacing w:after="0"/>
            </w:pPr>
            <w:r>
              <w:rPr>
                <w:rFonts w:ascii="Calibri" w:hAnsi="Calibri"/>
                <w:sz w:val="20"/>
              </w:rPr>
            </w:r>
            <w:r>
              <w:rPr>
                <w:rFonts w:ascii="Calibri" w:hAnsi="Calibri"/>
                <w:b w:val="0"/>
                <w:sz w:val="20"/>
              </w:rPr>
              <w:t>Explain the flow: CSV data -&gt; MySQL -&gt; Python validation -&gt; Power BI model -&gt; dashboard pages -&gt; business insights.</w:t>
            </w:r>
          </w:p>
        </w:tc>
      </w:tr>
      <w:tr>
        <w:tc>
          <w:tcPr>
            <w:tcW w:type="dxa" w:w="936"/>
            <w:vAlign w:val="center"/>
          </w:tcPr>
          <w:p>
            <w:pPr>
              <w:spacing w:after="0"/>
            </w:pPr>
            <w:r>
              <w:rPr>
                <w:rFonts w:ascii="Calibri" w:hAnsi="Calibri"/>
                <w:sz w:val="20"/>
              </w:rPr>
            </w:r>
            <w:r>
              <w:rPr>
                <w:rFonts w:ascii="Calibri" w:hAnsi="Calibri"/>
                <w:b w:val="0"/>
                <w:sz w:val="20"/>
              </w:rPr>
              <w:t>5</w:t>
            </w:r>
          </w:p>
        </w:tc>
        <w:tc>
          <w:tcPr>
            <w:tcW w:type="dxa" w:w="2736"/>
            <w:vAlign w:val="center"/>
          </w:tcPr>
          <w:p>
            <w:pPr>
              <w:spacing w:after="0"/>
            </w:pPr>
            <w:r>
              <w:rPr>
                <w:rFonts w:ascii="Calibri" w:hAnsi="Calibri"/>
                <w:sz w:val="20"/>
              </w:rPr>
            </w:r>
            <w:r>
              <w:rPr>
                <w:rFonts w:ascii="Calibri" w:hAnsi="Calibri"/>
                <w:b w:val="0"/>
                <w:sz w:val="20"/>
              </w:rPr>
              <w:t>Data Model</w:t>
            </w:r>
          </w:p>
        </w:tc>
        <w:tc>
          <w:tcPr>
            <w:tcW w:type="dxa" w:w="5616"/>
            <w:vAlign w:val="center"/>
          </w:tcPr>
          <w:p>
            <w:pPr>
              <w:spacing w:after="0"/>
            </w:pPr>
            <w:r>
              <w:rPr>
                <w:rFonts w:ascii="Calibri" w:hAnsi="Calibri"/>
                <w:sz w:val="20"/>
              </w:rPr>
            </w:r>
            <w:r>
              <w:rPr>
                <w:rFonts w:ascii="Calibri" w:hAnsi="Calibri"/>
                <w:b w:val="0"/>
                <w:sz w:val="20"/>
              </w:rPr>
              <w:t>Explain that Transportation is the main operational table and Product data supports sales/product analysis.</w:t>
            </w:r>
          </w:p>
        </w:tc>
      </w:tr>
      <w:tr>
        <w:tc>
          <w:tcPr>
            <w:tcW w:type="dxa" w:w="936"/>
            <w:vAlign w:val="center"/>
          </w:tcPr>
          <w:p>
            <w:pPr>
              <w:spacing w:after="0"/>
            </w:pPr>
            <w:r>
              <w:rPr>
                <w:rFonts w:ascii="Calibri" w:hAnsi="Calibri"/>
                <w:sz w:val="20"/>
              </w:rPr>
            </w:r>
            <w:r>
              <w:rPr>
                <w:rFonts w:ascii="Calibri" w:hAnsi="Calibri"/>
                <w:b w:val="0"/>
                <w:sz w:val="20"/>
              </w:rPr>
              <w:t>6</w:t>
            </w:r>
          </w:p>
        </w:tc>
        <w:tc>
          <w:tcPr>
            <w:tcW w:type="dxa" w:w="2736"/>
            <w:vAlign w:val="center"/>
          </w:tcPr>
          <w:p>
            <w:pPr>
              <w:spacing w:after="0"/>
            </w:pPr>
            <w:r>
              <w:rPr>
                <w:rFonts w:ascii="Calibri" w:hAnsi="Calibri"/>
                <w:sz w:val="20"/>
              </w:rPr>
            </w:r>
            <w:r>
              <w:rPr>
                <w:rFonts w:ascii="Calibri" w:hAnsi="Calibri"/>
                <w:b w:val="0"/>
                <w:sz w:val="20"/>
              </w:rPr>
              <w:t>Dashboard Overview</w:t>
            </w:r>
          </w:p>
        </w:tc>
        <w:tc>
          <w:tcPr>
            <w:tcW w:type="dxa" w:w="5616"/>
            <w:vAlign w:val="center"/>
          </w:tcPr>
          <w:p>
            <w:pPr>
              <w:spacing w:after="0"/>
            </w:pPr>
            <w:r>
              <w:rPr>
                <w:rFonts w:ascii="Calibri" w:hAnsi="Calibri"/>
                <w:sz w:val="20"/>
              </w:rPr>
            </w:r>
            <w:r>
              <w:rPr>
                <w:rFonts w:ascii="Calibri" w:hAnsi="Calibri"/>
                <w:b w:val="0"/>
                <w:sz w:val="20"/>
              </w:rPr>
              <w:t>Show that the report has six pages, each serving a different management or analytical purpose.</w:t>
            </w:r>
          </w:p>
        </w:tc>
      </w:tr>
      <w:tr>
        <w:tc>
          <w:tcPr>
            <w:tcW w:type="dxa" w:w="936"/>
            <w:vAlign w:val="center"/>
          </w:tcPr>
          <w:p>
            <w:pPr>
              <w:spacing w:after="0"/>
            </w:pPr>
            <w:r>
              <w:rPr>
                <w:rFonts w:ascii="Calibri" w:hAnsi="Calibri"/>
                <w:sz w:val="20"/>
              </w:rPr>
            </w:r>
            <w:r>
              <w:rPr>
                <w:rFonts w:ascii="Calibri" w:hAnsi="Calibri"/>
                <w:b w:val="0"/>
                <w:sz w:val="20"/>
              </w:rPr>
              <w:t>7</w:t>
            </w:r>
          </w:p>
        </w:tc>
        <w:tc>
          <w:tcPr>
            <w:tcW w:type="dxa" w:w="2736"/>
            <w:vAlign w:val="center"/>
          </w:tcPr>
          <w:p>
            <w:pPr>
              <w:spacing w:after="0"/>
            </w:pPr>
            <w:r>
              <w:rPr>
                <w:rFonts w:ascii="Calibri" w:hAnsi="Calibri"/>
                <w:sz w:val="20"/>
              </w:rPr>
            </w:r>
            <w:r>
              <w:rPr>
                <w:rFonts w:ascii="Calibri" w:hAnsi="Calibri"/>
                <w:b w:val="0"/>
                <w:sz w:val="20"/>
              </w:rPr>
              <w:t>Delivery And Risk Findings</w:t>
            </w:r>
          </w:p>
        </w:tc>
        <w:tc>
          <w:tcPr>
            <w:tcW w:type="dxa" w:w="5616"/>
            <w:vAlign w:val="center"/>
          </w:tcPr>
          <w:p>
            <w:pPr>
              <w:spacing w:after="0"/>
            </w:pPr>
            <w:r>
              <w:rPr>
                <w:rFonts w:ascii="Calibri" w:hAnsi="Calibri"/>
                <w:sz w:val="20"/>
              </w:rPr>
            </w:r>
            <w:r>
              <w:rPr>
                <w:rFonts w:ascii="Calibri" w:hAnsi="Calibri"/>
                <w:b w:val="0"/>
                <w:sz w:val="20"/>
              </w:rPr>
              <w:t>Discuss late shipments, high-risk shipments, late percentage, and route-level delay patterns.</w:t>
            </w:r>
          </w:p>
        </w:tc>
      </w:tr>
      <w:tr>
        <w:tc>
          <w:tcPr>
            <w:tcW w:type="dxa" w:w="936"/>
            <w:vAlign w:val="center"/>
          </w:tcPr>
          <w:p>
            <w:pPr>
              <w:spacing w:after="0"/>
            </w:pPr>
            <w:r>
              <w:rPr>
                <w:rFonts w:ascii="Calibri" w:hAnsi="Calibri"/>
                <w:sz w:val="20"/>
              </w:rPr>
            </w:r>
            <w:r>
              <w:rPr>
                <w:rFonts w:ascii="Calibri" w:hAnsi="Calibri"/>
                <w:b w:val="0"/>
                <w:sz w:val="20"/>
              </w:rPr>
              <w:t>8</w:t>
            </w:r>
          </w:p>
        </w:tc>
        <w:tc>
          <w:tcPr>
            <w:tcW w:type="dxa" w:w="2736"/>
            <w:vAlign w:val="center"/>
          </w:tcPr>
          <w:p>
            <w:pPr>
              <w:spacing w:after="0"/>
            </w:pPr>
            <w:r>
              <w:rPr>
                <w:rFonts w:ascii="Calibri" w:hAnsi="Calibri"/>
                <w:sz w:val="20"/>
              </w:rPr>
            </w:r>
            <w:r>
              <w:rPr>
                <w:rFonts w:ascii="Calibri" w:hAnsi="Calibri"/>
                <w:b w:val="0"/>
                <w:sz w:val="20"/>
              </w:rPr>
              <w:t>Sales And Customer Findings</w:t>
            </w:r>
          </w:p>
        </w:tc>
        <w:tc>
          <w:tcPr>
            <w:tcW w:type="dxa" w:w="5616"/>
            <w:vAlign w:val="center"/>
          </w:tcPr>
          <w:p>
            <w:pPr>
              <w:spacing w:after="0"/>
            </w:pPr>
            <w:r>
              <w:rPr>
                <w:rFonts w:ascii="Calibri" w:hAnsi="Calibri"/>
                <w:sz w:val="20"/>
              </w:rPr>
            </w:r>
            <w:r>
              <w:rPr>
                <w:rFonts w:ascii="Calibri" w:hAnsi="Calibri"/>
                <w:b w:val="0"/>
                <w:sz w:val="20"/>
              </w:rPr>
              <w:t>Discuss total sales, profit, average sales per order, and customer segment performance.</w:t>
            </w:r>
          </w:p>
        </w:tc>
      </w:tr>
      <w:tr>
        <w:tc>
          <w:tcPr>
            <w:tcW w:type="dxa" w:w="936"/>
            <w:vAlign w:val="center"/>
          </w:tcPr>
          <w:p>
            <w:pPr>
              <w:spacing w:after="0"/>
            </w:pPr>
            <w:r>
              <w:rPr>
                <w:rFonts w:ascii="Calibri" w:hAnsi="Calibri"/>
                <w:sz w:val="20"/>
              </w:rPr>
            </w:r>
            <w:r>
              <w:rPr>
                <w:rFonts w:ascii="Calibri" w:hAnsi="Calibri"/>
                <w:b w:val="0"/>
                <w:sz w:val="20"/>
              </w:rPr>
              <w:t>9</w:t>
            </w:r>
          </w:p>
        </w:tc>
        <w:tc>
          <w:tcPr>
            <w:tcW w:type="dxa" w:w="2736"/>
            <w:vAlign w:val="center"/>
          </w:tcPr>
          <w:p>
            <w:pPr>
              <w:spacing w:after="0"/>
            </w:pPr>
            <w:r>
              <w:rPr>
                <w:rFonts w:ascii="Calibri" w:hAnsi="Calibri"/>
                <w:sz w:val="20"/>
              </w:rPr>
            </w:r>
            <w:r>
              <w:rPr>
                <w:rFonts w:ascii="Calibri" w:hAnsi="Calibri"/>
                <w:b w:val="0"/>
                <w:sz w:val="20"/>
              </w:rPr>
              <w:t>Management Summary</w:t>
            </w:r>
          </w:p>
        </w:tc>
        <w:tc>
          <w:tcPr>
            <w:tcW w:type="dxa" w:w="5616"/>
            <w:vAlign w:val="center"/>
          </w:tcPr>
          <w:p>
            <w:pPr>
              <w:spacing w:after="0"/>
            </w:pPr>
            <w:r>
              <w:rPr>
                <w:rFonts w:ascii="Calibri" w:hAnsi="Calibri"/>
                <w:sz w:val="20"/>
              </w:rPr>
            </w:r>
            <w:r>
              <w:rPr>
                <w:rFonts w:ascii="Calibri" w:hAnsi="Calibri"/>
                <w:b w:val="0"/>
                <w:sz w:val="20"/>
              </w:rPr>
              <w:t>Explain the final page KPIs and how slicers allow decision-makers to filter by region, mode, priority, and status.</w:t>
            </w:r>
          </w:p>
        </w:tc>
      </w:tr>
      <w:tr>
        <w:tc>
          <w:tcPr>
            <w:tcW w:type="dxa" w:w="936"/>
            <w:vAlign w:val="center"/>
          </w:tcPr>
          <w:p>
            <w:pPr>
              <w:spacing w:after="0"/>
            </w:pPr>
            <w:r>
              <w:rPr>
                <w:rFonts w:ascii="Calibri" w:hAnsi="Calibri"/>
                <w:sz w:val="20"/>
              </w:rPr>
            </w:r>
            <w:r>
              <w:rPr>
                <w:rFonts w:ascii="Calibri" w:hAnsi="Calibri"/>
                <w:b w:val="0"/>
                <w:sz w:val="20"/>
              </w:rPr>
              <w:t>10</w:t>
            </w:r>
          </w:p>
        </w:tc>
        <w:tc>
          <w:tcPr>
            <w:tcW w:type="dxa" w:w="2736"/>
            <w:vAlign w:val="center"/>
          </w:tcPr>
          <w:p>
            <w:pPr>
              <w:spacing w:after="0"/>
            </w:pPr>
            <w:r>
              <w:rPr>
                <w:rFonts w:ascii="Calibri" w:hAnsi="Calibri"/>
                <w:sz w:val="20"/>
              </w:rPr>
            </w:r>
            <w:r>
              <w:rPr>
                <w:rFonts w:ascii="Calibri" w:hAnsi="Calibri"/>
                <w:b w:val="0"/>
                <w:sz w:val="20"/>
              </w:rPr>
              <w:t>Conclusion And Recommendations</w:t>
            </w:r>
          </w:p>
        </w:tc>
        <w:tc>
          <w:tcPr>
            <w:tcW w:type="dxa" w:w="5616"/>
            <w:vAlign w:val="center"/>
          </w:tcPr>
          <w:p>
            <w:pPr>
              <w:spacing w:after="0"/>
            </w:pPr>
            <w:r>
              <w:rPr>
                <w:rFonts w:ascii="Calibri" w:hAnsi="Calibri"/>
                <w:sz w:val="20"/>
              </w:rPr>
            </w:r>
            <w:r>
              <w:rPr>
                <w:rFonts w:ascii="Calibri" w:hAnsi="Calibri"/>
                <w:b w:val="0"/>
                <w:sz w:val="20"/>
              </w:rPr>
              <w:t>Close with recommendations: monitor high-risk routes, review high-priority delays, improve Standard Class performance, and use monthly tracking.</w:t>
            </w:r>
          </w:p>
        </w:tc>
      </w:tr>
    </w:tbl>
    <w:p>
      <w:pPr>
        <w:pStyle w:val="Heading1"/>
      </w:pPr>
      <w:r>
        <w:t>Interview And Viva Talking Points</w:t>
      </w:r>
    </w:p>
    <w:p>
      <w:pPr>
        <w:pStyle w:val="Heading2"/>
      </w:pPr>
      <w:r>
        <w:t>Short Project Introduction</w:t>
      </w:r>
    </w:p>
    <w:p>
      <w:pPr>
        <w:pStyle w:val="BodyText"/>
      </w:pPr>
      <w:r>
        <w:t>My project is a Supply Chain Management analytics dashboard. I used transportation and product data to analyze shipment volume, late deliveries, high-risk shipments, route performance, sales, profit, and customer segment behavior. I validated the data using MySQL and Python, then created a six-page Power BI dashboard for management decision-making.</w:t>
      </w:r>
    </w:p>
    <w:p>
      <w:pPr>
        <w:pStyle w:val="Heading2"/>
      </w:pPr>
      <w:r>
        <w:t>Why MySQL Was Used</w:t>
      </w:r>
    </w:p>
    <w:p>
      <w:pPr>
        <w:pStyle w:val="BodyText"/>
      </w:pPr>
      <w:r>
        <w:t>MySQL was used to store and validate the structured data. It helped me confirm row counts, grouped totals, late shipment counts, sales, profit, and other KPIs before trusting the Power BI dashboard.</w:t>
      </w:r>
    </w:p>
    <w:p>
      <w:pPr>
        <w:pStyle w:val="Heading2"/>
      </w:pPr>
      <w:r>
        <w:t>Why Python Was Used</w:t>
      </w:r>
    </w:p>
    <w:p>
      <w:pPr>
        <w:pStyle w:val="BodyText"/>
      </w:pPr>
      <w:r>
        <w:t>Python was used as an independent validation layer. It helped check data shape, missing values, duplicates, data types, and KPI calculations outside Power BI.</w:t>
      </w:r>
    </w:p>
    <w:p>
      <w:pPr>
        <w:pStyle w:val="Heading2"/>
      </w:pPr>
      <w:r>
        <w:t>Why Power BI Was Used</w:t>
      </w:r>
    </w:p>
    <w:p>
      <w:pPr>
        <w:pStyle w:val="BodyText"/>
      </w:pPr>
      <w:r>
        <w:t>Power BI was used because it converts validated data into interactive visuals. It helped create KPI cards, charts, matrices, slicers, and route-level analysis pages for business users.</w:t>
      </w:r>
    </w:p>
    <w:p>
      <w:pPr>
        <w:pStyle w:val="Heading2"/>
      </w:pPr>
      <w:r>
        <w:t>How To Explain The Final Finding</w:t>
      </w:r>
    </w:p>
    <w:p>
      <w:pPr>
        <w:pStyle w:val="BodyText"/>
      </w:pPr>
      <w:r>
        <w:t>The key finding is that late and high-risk shipments are a major operational issue. In the current data, high-priority shipments are all appearing as late and high risk, which is a strong business concern. I would verify the source data and business rule, then recommend route-level and shipping-mode-level improvement actions.</w:t>
      </w:r>
    </w:p>
    <w:p>
      <w:pPr>
        <w:pStyle w:val="Heading1"/>
      </w:pPr>
      <w:r>
        <w:t>Common Viva Questions And Answers</w:t>
      </w:r>
    </w:p>
    <w:tbl>
      <w:tblPr>
        <w:tblStyle w:val="TableGrid"/>
        <w:tblW w:type="auto" w:w="0"/>
        <w:jc w:val="center"/>
        <w:tblLayout w:type="fixed"/>
        <w:tblLook w:firstColumn="1" w:firstRow="1" w:lastColumn="0" w:lastRow="0" w:noHBand="0" w:noVBand="1" w:val="04A0"/>
      </w:tblPr>
      <w:tblGrid>
        <w:gridCol w:w="3024"/>
        <w:gridCol w:w="6048"/>
      </w:tblGrid>
      <w:tr>
        <w:tc>
          <w:tcPr>
            <w:tcW w:type="dxa" w:w="4680"/>
            <w:vAlign w:val="center"/>
            <w:shd w:fill="F2F4F7"/>
          </w:tcPr>
          <w:p>
            <w:pPr>
              <w:spacing w:after="0"/>
            </w:pPr>
            <w:r>
              <w:rPr>
                <w:rFonts w:ascii="Calibri" w:hAnsi="Calibri"/>
                <w:b/>
                <w:sz w:val="20"/>
              </w:rPr>
            </w:r>
            <w:r>
              <w:rPr>
                <w:rFonts w:ascii="Calibri" w:hAnsi="Calibri"/>
                <w:b/>
                <w:sz w:val="20"/>
              </w:rPr>
              <w:t>Question</w:t>
            </w:r>
          </w:p>
        </w:tc>
        <w:tc>
          <w:tcPr>
            <w:tcW w:type="dxa" w:w="4680"/>
            <w:vAlign w:val="center"/>
            <w:shd w:fill="F2F4F7"/>
          </w:tcPr>
          <w:p>
            <w:pPr>
              <w:spacing w:after="0"/>
            </w:pPr>
            <w:r>
              <w:rPr>
                <w:rFonts w:ascii="Calibri" w:hAnsi="Calibri"/>
                <w:b/>
                <w:sz w:val="20"/>
              </w:rPr>
            </w:r>
            <w:r>
              <w:rPr>
                <w:rFonts w:ascii="Calibri" w:hAnsi="Calibri"/>
                <w:b/>
                <w:sz w:val="20"/>
              </w:rPr>
              <w:t>Answer</w:t>
            </w:r>
          </w:p>
        </w:tc>
      </w:tr>
      <w:tr>
        <w:tc>
          <w:tcPr>
            <w:tcW w:type="dxa" w:w="3024"/>
            <w:vAlign w:val="center"/>
          </w:tcPr>
          <w:p>
            <w:pPr>
              <w:spacing w:after="0"/>
            </w:pPr>
            <w:r>
              <w:rPr>
                <w:rFonts w:ascii="Calibri" w:hAnsi="Calibri"/>
                <w:sz w:val="20"/>
              </w:rPr>
            </w:r>
            <w:r>
              <w:rPr>
                <w:rFonts w:ascii="Calibri" w:hAnsi="Calibri"/>
                <w:b w:val="0"/>
                <w:sz w:val="20"/>
              </w:rPr>
              <w:t>What is the goal of your project?</w:t>
            </w:r>
          </w:p>
        </w:tc>
        <w:tc>
          <w:tcPr>
            <w:tcW w:type="dxa" w:w="6048"/>
            <w:vAlign w:val="center"/>
          </w:tcPr>
          <w:p>
            <w:pPr>
              <w:spacing w:after="0"/>
            </w:pPr>
            <w:r>
              <w:rPr>
                <w:rFonts w:ascii="Calibri" w:hAnsi="Calibri"/>
                <w:sz w:val="20"/>
              </w:rPr>
            </w:r>
            <w:r>
              <w:rPr>
                <w:rFonts w:ascii="Calibri" w:hAnsi="Calibri"/>
                <w:b w:val="0"/>
                <w:sz w:val="20"/>
              </w:rPr>
              <w:t>To analyze supply chain performance and identify delays, high-risk shipments, route problems, and sales/customer trends using validated data.</w:t>
            </w:r>
          </w:p>
        </w:tc>
      </w:tr>
      <w:tr>
        <w:tc>
          <w:tcPr>
            <w:tcW w:type="dxa" w:w="3024"/>
            <w:vAlign w:val="center"/>
          </w:tcPr>
          <w:p>
            <w:pPr>
              <w:spacing w:after="0"/>
            </w:pPr>
            <w:r>
              <w:rPr>
                <w:rFonts w:ascii="Calibri" w:hAnsi="Calibri"/>
                <w:sz w:val="20"/>
              </w:rPr>
            </w:r>
            <w:r>
              <w:rPr>
                <w:rFonts w:ascii="Calibri" w:hAnsi="Calibri"/>
                <w:b w:val="0"/>
                <w:sz w:val="20"/>
              </w:rPr>
              <w:t>Which table is most important?</w:t>
            </w:r>
          </w:p>
        </w:tc>
        <w:tc>
          <w:tcPr>
            <w:tcW w:type="dxa" w:w="6048"/>
            <w:vAlign w:val="center"/>
          </w:tcPr>
          <w:p>
            <w:pPr>
              <w:spacing w:after="0"/>
            </w:pPr>
            <w:r>
              <w:rPr>
                <w:rFonts w:ascii="Calibri" w:hAnsi="Calibri"/>
                <w:sz w:val="20"/>
              </w:rPr>
            </w:r>
            <w:r>
              <w:rPr>
                <w:rFonts w:ascii="Calibri" w:hAnsi="Calibri"/>
                <w:b w:val="0"/>
                <w:sz w:val="20"/>
              </w:rPr>
              <w:t>Transportation is the most important table because most logistics KPIs and dashboard pages are based on shipment and delivery fields.</w:t>
            </w:r>
          </w:p>
        </w:tc>
      </w:tr>
      <w:tr>
        <w:tc>
          <w:tcPr>
            <w:tcW w:type="dxa" w:w="3024"/>
            <w:vAlign w:val="center"/>
          </w:tcPr>
          <w:p>
            <w:pPr>
              <w:spacing w:after="0"/>
            </w:pPr>
            <w:r>
              <w:rPr>
                <w:rFonts w:ascii="Calibri" w:hAnsi="Calibri"/>
                <w:sz w:val="20"/>
              </w:rPr>
            </w:r>
            <w:r>
              <w:rPr>
                <w:rFonts w:ascii="Calibri" w:hAnsi="Calibri"/>
                <w:b w:val="0"/>
                <w:sz w:val="20"/>
              </w:rPr>
              <w:t>Did you create all Power BI measures again for every page?</w:t>
            </w:r>
          </w:p>
        </w:tc>
        <w:tc>
          <w:tcPr>
            <w:tcW w:type="dxa" w:w="6048"/>
            <w:vAlign w:val="center"/>
          </w:tcPr>
          <w:p>
            <w:pPr>
              <w:spacing w:after="0"/>
            </w:pPr>
            <w:r>
              <w:rPr>
                <w:rFonts w:ascii="Calibri" w:hAnsi="Calibri"/>
                <w:sz w:val="20"/>
              </w:rPr>
            </w:r>
            <w:r>
              <w:rPr>
                <w:rFonts w:ascii="Calibri" w:hAnsi="Calibri"/>
                <w:b w:val="0"/>
                <w:sz w:val="20"/>
              </w:rPr>
              <w:t>No. Existing measures were reused across report pages to avoid duplicate calculations and maintain consistency.</w:t>
            </w:r>
          </w:p>
        </w:tc>
      </w:tr>
      <w:tr>
        <w:tc>
          <w:tcPr>
            <w:tcW w:type="dxa" w:w="3024"/>
            <w:vAlign w:val="center"/>
          </w:tcPr>
          <w:p>
            <w:pPr>
              <w:spacing w:after="0"/>
            </w:pPr>
            <w:r>
              <w:rPr>
                <w:rFonts w:ascii="Calibri" w:hAnsi="Calibri"/>
                <w:sz w:val="20"/>
              </w:rPr>
            </w:r>
            <w:r>
              <w:rPr>
                <w:rFonts w:ascii="Calibri" w:hAnsi="Calibri"/>
                <w:b w:val="0"/>
                <w:sz w:val="20"/>
              </w:rPr>
              <w:t>How did you validate the dashboard?</w:t>
            </w:r>
          </w:p>
        </w:tc>
        <w:tc>
          <w:tcPr>
            <w:tcW w:type="dxa" w:w="6048"/>
            <w:vAlign w:val="center"/>
          </w:tcPr>
          <w:p>
            <w:pPr>
              <w:spacing w:after="0"/>
            </w:pPr>
            <w:r>
              <w:rPr>
                <w:rFonts w:ascii="Calibri" w:hAnsi="Calibri"/>
                <w:sz w:val="20"/>
              </w:rPr>
            </w:r>
            <w:r>
              <w:rPr>
                <w:rFonts w:ascii="Calibri" w:hAnsi="Calibri"/>
                <w:b w:val="0"/>
                <w:sz w:val="20"/>
              </w:rPr>
              <w:t>I compared Power BI KPIs with SQL queries and Python calculations for shipment counts, late shipments, on-time shipments, high-risk shipments, sales, profit, and segment totals.</w:t>
            </w:r>
          </w:p>
        </w:tc>
      </w:tr>
      <w:tr>
        <w:tc>
          <w:tcPr>
            <w:tcW w:type="dxa" w:w="3024"/>
            <w:vAlign w:val="center"/>
          </w:tcPr>
          <w:p>
            <w:pPr>
              <w:spacing w:after="0"/>
            </w:pPr>
            <w:r>
              <w:rPr>
                <w:rFonts w:ascii="Calibri" w:hAnsi="Calibri"/>
                <w:sz w:val="20"/>
              </w:rPr>
            </w:r>
            <w:r>
              <w:rPr>
                <w:rFonts w:ascii="Calibri" w:hAnsi="Calibri"/>
                <w:b w:val="0"/>
                <w:sz w:val="20"/>
              </w:rPr>
              <w:t>What is your most important insight?</w:t>
            </w:r>
          </w:p>
        </w:tc>
        <w:tc>
          <w:tcPr>
            <w:tcW w:type="dxa" w:w="6048"/>
            <w:vAlign w:val="center"/>
          </w:tcPr>
          <w:p>
            <w:pPr>
              <w:spacing w:after="0"/>
            </w:pPr>
            <w:r>
              <w:rPr>
                <w:rFonts w:ascii="Calibri" w:hAnsi="Calibri"/>
                <w:sz w:val="20"/>
              </w:rPr>
            </w:r>
            <w:r>
              <w:rPr>
                <w:rFonts w:ascii="Calibri" w:hAnsi="Calibri"/>
                <w:b w:val="0"/>
                <w:sz w:val="20"/>
              </w:rPr>
              <w:t>Late shipments and high-risk shipments are very high, and the high-priority category needs special attention because it shows 100% late/high-risk behavior in the current data.</w:t>
            </w:r>
          </w:p>
        </w:tc>
      </w:tr>
      <w:tr>
        <w:tc>
          <w:tcPr>
            <w:tcW w:type="dxa" w:w="3024"/>
            <w:vAlign w:val="center"/>
          </w:tcPr>
          <w:p>
            <w:pPr>
              <w:spacing w:after="0"/>
            </w:pPr>
            <w:r>
              <w:rPr>
                <w:rFonts w:ascii="Calibri" w:hAnsi="Calibri"/>
                <w:sz w:val="20"/>
              </w:rPr>
            </w:r>
            <w:r>
              <w:rPr>
                <w:rFonts w:ascii="Calibri" w:hAnsi="Calibri"/>
                <w:b w:val="0"/>
                <w:sz w:val="20"/>
              </w:rPr>
              <w:t>What would you improve next?</w:t>
            </w:r>
          </w:p>
        </w:tc>
        <w:tc>
          <w:tcPr>
            <w:tcW w:type="dxa" w:w="6048"/>
            <w:vAlign w:val="center"/>
          </w:tcPr>
          <w:p>
            <w:pPr>
              <w:spacing w:after="0"/>
            </w:pPr>
            <w:r>
              <w:rPr>
                <w:rFonts w:ascii="Calibri" w:hAnsi="Calibri"/>
                <w:sz w:val="20"/>
              </w:rPr>
            </w:r>
            <w:r>
              <w:rPr>
                <w:rFonts w:ascii="Calibri" w:hAnsi="Calibri"/>
                <w:b w:val="0"/>
                <w:sz w:val="20"/>
              </w:rPr>
              <w:t>I would add forecasting, real-time tracking, carrier cost analysis, and root-cause fields such as warehouse delay, carrier delay, distance, or weather impact.</w:t>
            </w:r>
          </w:p>
        </w:tc>
      </w:tr>
    </w:tbl>
    <w:p>
      <w:pPr>
        <w:pStyle w:val="Heading1"/>
      </w:pPr>
      <w:r>
        <w:t>Final Submission Checklist</w:t>
      </w:r>
    </w:p>
    <w:p>
      <w:pPr>
        <w:pStyle w:val="ListBullet"/>
      </w:pPr>
      <w:r>
        <w:t>Power BI file with six completed pages.</w:t>
      </w:r>
    </w:p>
    <w:p>
      <w:pPr>
        <w:pStyle w:val="ListBullet"/>
      </w:pPr>
      <w:r>
        <w:t>Six dashboard screenshots.</w:t>
      </w:r>
    </w:p>
    <w:p>
      <w:pPr>
        <w:pStyle w:val="ListBullet"/>
      </w:pPr>
      <w:r>
        <w:t>SQL validation outputs.</w:t>
      </w:r>
    </w:p>
    <w:p>
      <w:pPr>
        <w:pStyle w:val="ListBullet"/>
      </w:pPr>
      <w:r>
        <w:t>Python validation outputs.</w:t>
      </w:r>
    </w:p>
    <w:p>
      <w:pPr>
        <w:pStyle w:val="ListBullet"/>
      </w:pPr>
      <w:r>
        <w:t>This final documentation report.</w:t>
      </w:r>
    </w:p>
    <w:p>
      <w:pPr>
        <w:pStyle w:val="ListBullet"/>
      </w:pPr>
      <w:r>
        <w:t>Presentation slide sequence or PowerPoint deck.</w:t>
      </w:r>
    </w:p>
    <w:p>
      <w:pPr>
        <w:pStyle w:val="ListBullet"/>
      </w:pPr>
      <w:r>
        <w:t>Short viva script and answers to common questions.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Supply Chain Management Project Finalization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