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30th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82-60 Austin Street Corp</w:t>
      </w:r>
      <w:r w:rsidRPr="00950A90">
        <w:rPr>
          <w:color w:val="211E1F"/>
        </w:rPr>
        <w:t xml:space="preserve"> and its affiliates, located at </w:t>
      </w:r>
      <w:r w:rsidR="009F1B37" w:rsidRPr="009F1B37">
        <w:rPr>
          <w:b/>
          <w:bCs/>
          <w:color w:val="211E1F"/>
        </w:rPr>
        <w:t>82-60 Austin Street Corp, Kew Gardens, 11709,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Barbara Guida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