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03rd</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Navika Capital Group LLC</w:t>
      </w:r>
      <w:r w:rsidRPr="00950A90">
        <w:rPr>
          <w:color w:val="211E1F"/>
        </w:rPr>
        <w:t xml:space="preserve"> and its affiliates, located at </w:t>
      </w:r>
      <w:r w:rsidR="009F1B37" w:rsidRPr="009F1B37">
        <w:rPr>
          <w:b/>
          <w:bCs/>
          <w:color w:val="211E1F"/>
        </w:rPr>
        <w:t>1274 Rxr Plaza 12th Fl West Wing, Uniondale, 11556,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