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05th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Tsolias LLC</w:t>
      </w:r>
      <w:r w:rsidRPr="00950A90">
        <w:rPr>
          <w:color w:val="211E1F"/>
        </w:rPr>
        <w:t xml:space="preserve"> and its affiliates, located at </w:t>
      </w:r>
      <w:r w:rsidR="009F1B37" w:rsidRPr="009F1B37">
        <w:rPr>
          <w:b/>
          <w:bCs/>
          <w:color w:val="211E1F"/>
        </w:rPr>
        <w:t>2365 Whitney Ave., Hamden, 06518,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