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PKF O&amp;#039;Connor Davies LLP</w:t>
      </w:r>
      <w:r w:rsidRPr="00950A90">
        <w:rPr>
          <w:color w:val="211E1F"/>
        </w:rPr>
        <w:t xml:space="preserve"> and its affiliates, located at </w:t>
      </w:r>
      <w:r w:rsidR="009F1B37" w:rsidRPr="009F1B37">
        <w:rPr>
          <w:b/>
          <w:bCs/>
          <w:color w:val="211E1F"/>
        </w:rPr>
        <w:t>3001 Summer St, Stamford, 33647,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