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21st</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New Rochelle Toyota Inc</w:t>
      </w:r>
      <w:r w:rsidRPr="00950A90">
        <w:rPr>
          <w:color w:val="211E1F"/>
        </w:rPr>
        <w:t xml:space="preserve"> and its affiliates, located at </w:t>
      </w:r>
      <w:r w:rsidR="009F1B37" w:rsidRPr="009F1B37">
        <w:rPr>
          <w:b/>
          <w:bCs/>
          <w:color w:val="211E1F"/>
        </w:rPr>
        <w:t>47 Cedar St, New Rochelle, New York, 10801</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