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Westchester Manor Corp</w:t>
      </w:r>
      <w:r w:rsidRPr="00950A90">
        <w:rPr>
          <w:color w:val="211E1F"/>
        </w:rPr>
        <w:t xml:space="preserve"> and its affiliates, located at </w:t>
      </w:r>
      <w:r w:rsidR="009F1B37" w:rsidRPr="009F1B37">
        <w:rPr>
          <w:b/>
          <w:bCs/>
          <w:color w:val="211E1F"/>
        </w:rPr>
        <w:t>140 SAW MILL RIVER ROAD, HASTINGS-ON-HUDSON, NY, 10706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