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AMP HP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 , , </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Patrick Dixon</w:t>
      </w:r>
      <w:bookmarkEnd w:id="0"/>
    </w:p>
    <w:p w14:paraId="286C4872" w14:textId="74B7E916" w:rsidR="003636A8" w:rsidRDefault="003636A8" w:rsidP="008E5BFC">
      <w:pPr>
        <w:pStyle w:val="BodyText"/>
        <w:spacing w:before="101"/>
      </w:pPr>
      <w:r>
        <w:t xml:space="preserve">Contact Email: </w:t>
      </w:r>
      <w:r w:rsidR="00C50CDC" w:rsidRPr="00C50CDC">
        <w:rPr>
          <w:b/>
        </w:rPr>
        <w:t>patrick@amphuman.com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AMP HP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 , , </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Patrick Dixon</w:t>
      </w:r>
    </w:p>
    <w:p w14:paraId="20AA5DFB" w14:textId="4CA17AC5" w:rsidR="00FC537E" w:rsidRDefault="00FC537E" w:rsidP="00577EBF">
      <w:pPr>
        <w:pStyle w:val="BodyText"/>
        <w:spacing w:before="101"/>
      </w:pPr>
      <w:r>
        <w:t xml:space="preserve">Contact Email: </w:t>
      </w:r>
      <w:r w:rsidR="00C50CDC" w:rsidRPr="00C50CDC">
        <w:rPr>
          <w:b/>
        </w:rPr>
        <w:t>patrick@amphuman.com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