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Ford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2528 Route 17M, Goshen, 10924,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877-706-3640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Ford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2528 Route 17M, Goshen, 10924,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877-706-3640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