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30th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PQR, Inc.</w:t>
      </w:r>
      <w:r w:rsidRPr="00950A90">
        <w:rPr>
          <w:color w:val="211E1F"/>
        </w:rPr>
        <w:t xml:space="preserve"> and its affiliates, located at </w:t>
      </w:r>
      <w:r w:rsidR="009F1B37" w:rsidRPr="009F1B37">
        <w:rPr>
          <w:b/>
          <w:bCs/>
          <w:color w:val="211E1F"/>
        </w:rPr>
        <w:t>1 Oak Street, Wilton, 06878,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Test AE2</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