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867" w:rsidRDefault="00E62867" w:rsidP="001221EC">
      <w:pPr>
        <w:tabs>
          <w:tab w:val="left" w:pos="270"/>
        </w:tabs>
        <w:ind w:left="180"/>
        <w:rPr>
          <w:sz w:val="20"/>
        </w:rPr>
      </w:pPr>
      <w:r>
        <w:rPr>
          <w:noProof/>
          <w:position w:val="3"/>
          <w:sz w:val="20"/>
        </w:rPr>
        <mc:AlternateContent>
          <mc:Choice Requires="wpg">
            <w:drawing>
              <wp:inline distT="0" distB="0" distL="0" distR="0" wp14:anchorId="6E59EF51" wp14:editId="0B3EEE3D">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CE88710"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6"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08465EB9" wp14:editId="0EAC9A67">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6E4D86B"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0EAC27EE" wp14:editId="7D848603">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D543289"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8"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bookmarkStart w:id="0" w:name="_GoBack"/>
      <w:bookmarkEnd w:id="0"/>
    </w:p>
    <w:p w:rsidR="00E62867" w:rsidRDefault="00E62867" w:rsidP="00E62867">
      <w:pPr>
        <w:pStyle w:val="BodyText"/>
        <w:spacing w:before="9"/>
        <w:rPr>
          <w:b/>
          <w:sz w:val="26"/>
        </w:rPr>
      </w:pPr>
    </w:p>
    <w:p w:rsidR="00E62867" w:rsidRDefault="00E62867" w:rsidP="00E62867">
      <w:pPr>
        <w:spacing w:before="83"/>
        <w:ind w:left="128"/>
        <w:rPr>
          <w:b/>
          <w:sz w:val="32"/>
        </w:rPr>
      </w:pPr>
      <w:r>
        <w:rPr>
          <w:noProof/>
        </w:rPr>
        <mc:AlternateContent>
          <mc:Choice Requires="wpg">
            <w:drawing>
              <wp:anchor distT="0" distB="0" distL="114300" distR="114300" simplePos="0" relativeHeight="251662336" behindDoc="0" locked="0" layoutInCell="1" allowOverlap="1" wp14:anchorId="71F2103F" wp14:editId="6E664522">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E30004C" id="Group 81" o:spid="_x0000_s1026" style="position:absolute;margin-left:368.05pt;margin-top:-16.65pt;width:46.2pt;height:11.55pt;z-index:251662336;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2"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3"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4" o:title=""/>
                </v:shape>
                <w10:wrap anchorx="page"/>
              </v:group>
            </w:pict>
          </mc:Fallback>
        </mc:AlternateContent>
      </w:r>
      <w:r>
        <w:rPr>
          <w:noProof/>
        </w:rPr>
        <mc:AlternateContent>
          <mc:Choice Requires="wpg">
            <w:drawing>
              <wp:anchor distT="0" distB="0" distL="114300" distR="114300" simplePos="0" relativeHeight="251663360" behindDoc="0" locked="0" layoutInCell="1" allowOverlap="1" wp14:anchorId="64771A1E" wp14:editId="4831D8F9">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10B427B" id="Group 78" o:spid="_x0000_s1026" style="position:absolute;margin-left:420.35pt;margin-top:-16.45pt;width:64.35pt;height:14.45pt;z-index:251663360;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5DADC3" wp14:editId="13DFDB7F">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060A3A0" id="Group 70" o:spid="_x0000_s1026" style="position:absolute;margin-left:489.85pt;margin-top:-16.65pt;width:73.05pt;height:14.45pt;z-index:251664384;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1"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2"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3"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4" o:title=""/>
                </v:shape>
                <w10:wrap anchorx="page"/>
              </v:group>
            </w:pict>
          </mc:Fallback>
        </mc:AlternateContent>
      </w:r>
      <w:r>
        <w:rPr>
          <w:b/>
          <w:color w:val="221F1F"/>
          <w:sz w:val="32"/>
        </w:rPr>
        <w:t xml:space="preserve"> Fee and Merchant Discount Antitrust Litigation</w:t>
      </w:r>
    </w:p>
    <w:p w:rsidR="00E62867" w:rsidRDefault="00E62867" w:rsidP="00E62867">
      <w:pPr>
        <w:pStyle w:val="BodyText"/>
        <w:spacing w:before="10"/>
        <w:rPr>
          <w:b/>
          <w:sz w:val="11"/>
        </w:rPr>
      </w:pPr>
      <w:r>
        <w:rPr>
          <w:noProof/>
        </w:rPr>
        <mc:AlternateContent>
          <mc:Choice Requires="wps">
            <w:drawing>
              <wp:anchor distT="0" distB="0" distL="0" distR="0" simplePos="0" relativeHeight="251659264" behindDoc="1" locked="0" layoutInCell="1" allowOverlap="1">
                <wp:simplePos x="0" y="0"/>
                <wp:positionH relativeFrom="page">
                  <wp:posOffset>428625</wp:posOffset>
                </wp:positionH>
                <wp:positionV relativeFrom="paragraph">
                  <wp:posOffset>118110</wp:posOffset>
                </wp:positionV>
                <wp:extent cx="7081520" cy="1974850"/>
                <wp:effectExtent l="0" t="0" r="24130" b="2540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1520" cy="197485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E62867" w:rsidRDefault="00E62867" w:rsidP="00E62867">
                            <w:pPr>
                              <w:spacing w:before="120"/>
                              <w:ind w:left="124"/>
                              <w:rPr>
                                <w:b/>
                                <w:sz w:val="18"/>
                              </w:rPr>
                            </w:pPr>
                            <w:r>
                              <w:rPr>
                                <w:b/>
                                <w:color w:val="221F1F"/>
                                <w:sz w:val="18"/>
                              </w:rPr>
                              <w:t>BACKGROUND:</w:t>
                            </w:r>
                          </w:p>
                          <w:p w:rsidR="00E62867" w:rsidRDefault="00E62867" w:rsidP="00E62867">
                            <w:pPr>
                              <w:pStyle w:val="BodyText"/>
                              <w:rPr>
                                <w:b/>
                                <w:sz w:val="20"/>
                              </w:rPr>
                            </w:pPr>
                          </w:p>
                          <w:p w:rsidR="00E62867" w:rsidRPr="001E51FA" w:rsidRDefault="00E62867" w:rsidP="00E62867">
                            <w:pPr>
                              <w:pStyle w:val="BodyText"/>
                              <w:spacing w:before="115" w:line="249" w:lineRule="auto"/>
                              <w:ind w:left="124" w:right="176"/>
                              <w:rPr>
                                <w:sz w:val="20"/>
                                <w:szCs w:val="20"/>
                              </w:rPr>
                            </w:pPr>
                            <w:r w:rsidRPr="001E51FA">
                              <w:rPr>
                                <w:color w:val="221F1F"/>
                                <w:sz w:val="20"/>
                                <w:szCs w:val="20"/>
                              </w:rPr>
                              <w:t>Plaintiffs allege that defendants Visa, MasterCard and their member banks have engaged in anti-competitive practices, including collusion, that artificially inflated the interchange fee that all merchants paid (and continue to pay) to accept Visa and MasterCard branded credit and debit cards. It is further alleged that interchange fees, which are neither cost-based nor negotiated between merchants and the banks with whom they deal directly, raise merchant discount fees to supra-competitive levels and have generated enormous profits for the Bank Defendants with respect to interchange fees in violation of Section 1 of the Sherman Act.</w:t>
                            </w:r>
                          </w:p>
                          <w:p w:rsidR="00E62867" w:rsidRPr="001E51FA" w:rsidRDefault="00E62867" w:rsidP="00E62867">
                            <w:pPr>
                              <w:pStyle w:val="BodyText"/>
                              <w:rPr>
                                <w:sz w:val="20"/>
                                <w:szCs w:val="20"/>
                              </w:rPr>
                            </w:pPr>
                          </w:p>
                          <w:p w:rsidR="00E62867" w:rsidRPr="001E51FA" w:rsidRDefault="00E62867" w:rsidP="00E62867">
                            <w:pPr>
                              <w:pStyle w:val="BodyText"/>
                              <w:rPr>
                                <w:sz w:val="20"/>
                                <w:szCs w:val="20"/>
                              </w:rPr>
                            </w:pPr>
                          </w:p>
                          <w:p w:rsidR="00E62867" w:rsidRPr="001E51FA" w:rsidRDefault="00E62867" w:rsidP="00E62867">
                            <w:pPr>
                              <w:pStyle w:val="BodyText"/>
                              <w:spacing w:before="5"/>
                              <w:rPr>
                                <w:sz w:val="20"/>
                                <w:szCs w:val="20"/>
                              </w:rPr>
                            </w:pPr>
                          </w:p>
                          <w:p w:rsidR="00E62867" w:rsidRPr="001E51FA" w:rsidRDefault="00E62867" w:rsidP="00E62867">
                            <w:pPr>
                              <w:ind w:left="124"/>
                              <w:rPr>
                                <w:b/>
                                <w:sz w:val="20"/>
                                <w:szCs w:val="20"/>
                              </w:rPr>
                            </w:pPr>
                            <w:r w:rsidRPr="001E51FA">
                              <w:rPr>
                                <w:b/>
                                <w:color w:val="221F1F"/>
                                <w:sz w:val="20"/>
                                <w:szCs w:val="20"/>
                              </w:rPr>
                              <w:t>SETTLEMENT: $5.56 to $6.26 billion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75pt;margin-top:9.3pt;width:557.6pt;height:155.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" filled="f" strokeweight="1pt">
                <v:textbox inset="0,0,0,0">
                  <w:txbxContent>
                    <w:p w:rsidR="00E62867" w:rsidRDefault="00E62867" w:rsidP="00E62867">
                      <w:pPr>
                        <w:spacing w:before="120"/>
                        <w:ind w:left="124"/>
                        <w:rPr>
                          <w:b/>
                          <w:sz w:val="18"/>
                        </w:rPr>
                      </w:pPr>
                      <w:r>
                        <w:rPr>
                          <w:b/>
                          <w:color w:val="221F1F"/>
                          <w:sz w:val="18"/>
                        </w:rPr>
                        <w:t>BACKGROUND:</w:t>
                      </w:r>
                    </w:p>
                    <w:p w:rsidR="00E62867" w:rsidRDefault="00E62867" w:rsidP="00E62867">
                      <w:pPr>
                        <w:pStyle w:val="BodyText"/>
                        <w:rPr>
                          <w:b/>
                          <w:sz w:val="20"/>
                        </w:rPr>
                      </w:pPr>
                    </w:p>
                    <w:p w:rsidR="00E62867" w:rsidRPr="001E51FA" w:rsidRDefault="00E62867" w:rsidP="00E62867">
                      <w:pPr>
                        <w:pStyle w:val="BodyText"/>
                        <w:spacing w:before="115" w:line="249" w:lineRule="auto"/>
                        <w:ind w:left="124" w:right="176"/>
                        <w:rPr>
                          <w:sz w:val="20"/>
                          <w:szCs w:val="20"/>
                        </w:rPr>
                      </w:pPr>
                      <w:r w:rsidRPr="001E51FA">
                        <w:rPr>
                          <w:color w:val="221F1F"/>
                          <w:sz w:val="20"/>
                          <w:szCs w:val="20"/>
                        </w:rPr>
                        <w:t>Plaintiffs allege that defendants Visa, MasterCard and their member banks have engaged in anti-competitive practices, including collusion, that artificially inflated the interchange fee that all merchants paid (and continue to pay) to accept Visa and MasterCard branded credit and debit cards. It is further alleged that interchange fees, which are neither cost-based nor negotiated between merchants and the banks with whom they deal directly, raise merchant discount fees to supra-competitive levels and have generated enormous profits for the Bank Defendants with respect to interchange fees in violation of Section 1 of the Sherman Act.</w:t>
                      </w:r>
                    </w:p>
                    <w:p w:rsidR="00E62867" w:rsidRPr="001E51FA" w:rsidRDefault="00E62867" w:rsidP="00E62867">
                      <w:pPr>
                        <w:pStyle w:val="BodyText"/>
                        <w:rPr>
                          <w:sz w:val="20"/>
                          <w:szCs w:val="20"/>
                        </w:rPr>
                      </w:pPr>
                    </w:p>
                    <w:p w:rsidR="00E62867" w:rsidRPr="001E51FA" w:rsidRDefault="00E62867" w:rsidP="00E62867">
                      <w:pPr>
                        <w:pStyle w:val="BodyText"/>
                        <w:rPr>
                          <w:sz w:val="20"/>
                          <w:szCs w:val="20"/>
                        </w:rPr>
                      </w:pPr>
                    </w:p>
                    <w:p w:rsidR="00E62867" w:rsidRPr="001E51FA" w:rsidRDefault="00E62867" w:rsidP="00E62867">
                      <w:pPr>
                        <w:pStyle w:val="BodyText"/>
                        <w:spacing w:before="5"/>
                        <w:rPr>
                          <w:sz w:val="20"/>
                          <w:szCs w:val="20"/>
                        </w:rPr>
                      </w:pPr>
                    </w:p>
                    <w:p w:rsidR="00E62867" w:rsidRPr="001E51FA" w:rsidRDefault="00E62867" w:rsidP="00E62867">
                      <w:pPr>
                        <w:ind w:left="124"/>
                        <w:rPr>
                          <w:b/>
                          <w:sz w:val="20"/>
                          <w:szCs w:val="20"/>
                        </w:rPr>
                      </w:pPr>
                      <w:r w:rsidRPr="001E51FA">
                        <w:rPr>
                          <w:b/>
                          <w:color w:val="221F1F"/>
                          <w:sz w:val="20"/>
                          <w:szCs w:val="20"/>
                        </w:rPr>
                        <w:t>SETTLEMENT: $5.56 to $6.26 billion</w:t>
                      </w:r>
                    </w:p>
                  </w:txbxContent>
                </v:textbox>
                <w10:wrap type="topAndBottom" anchorx="page"/>
              </v:shape>
            </w:pict>
          </mc:Fallback>
        </mc:AlternateContent>
      </w:r>
    </w:p>
    <w:p w:rsidR="00E62867" w:rsidRDefault="00E62867" w:rsidP="00E62867">
      <w:pPr>
        <w:pStyle w:val="BodyText"/>
        <w:rPr>
          <w:b/>
          <w:sz w:val="8"/>
        </w:rPr>
      </w:pPr>
    </w:p>
    <w:p w:rsidR="00E62867" w:rsidRPr="001E51FA" w:rsidRDefault="00E62867" w:rsidP="00E62867">
      <w:pPr>
        <w:pStyle w:val="Heading3"/>
        <w:spacing w:before="95"/>
        <w:ind w:left="309"/>
        <w:rPr>
          <w:sz w:val="20"/>
          <w:szCs w:val="20"/>
        </w:rPr>
      </w:pPr>
      <w:r w:rsidRPr="001E51FA">
        <w:rPr>
          <w:color w:val="221F1F"/>
          <w:sz w:val="20"/>
          <w:szCs w:val="20"/>
        </w:rPr>
        <w:t>Who is Eligi</w:t>
      </w:r>
      <w:r w:rsidR="0099738E" w:rsidRPr="001E51FA">
        <w:rPr>
          <w:color w:val="221F1F"/>
          <w:sz w:val="20"/>
          <w:szCs w:val="20"/>
        </w:rPr>
        <w:t>ble?</w:t>
      </w:r>
    </w:p>
    <w:p w:rsidR="00E62867" w:rsidRPr="001E51FA" w:rsidRDefault="00E62867" w:rsidP="00E62867">
      <w:pPr>
        <w:pStyle w:val="BodyText"/>
        <w:spacing w:before="6"/>
        <w:rPr>
          <w:b/>
          <w:sz w:val="20"/>
          <w:szCs w:val="20"/>
        </w:rPr>
      </w:pPr>
    </w:p>
    <w:p w:rsidR="00E62867" w:rsidRPr="001E51FA" w:rsidRDefault="00E62867" w:rsidP="0099738E">
      <w:pPr>
        <w:pStyle w:val="BodyText"/>
        <w:spacing w:line="249" w:lineRule="auto"/>
        <w:ind w:left="309" w:right="160"/>
        <w:jc w:val="both"/>
        <w:rPr>
          <w:sz w:val="20"/>
          <w:szCs w:val="20"/>
        </w:rPr>
      </w:pPr>
      <w:r w:rsidRPr="001E51FA">
        <w:rPr>
          <w:color w:val="221F1F"/>
          <w:sz w:val="20"/>
          <w:szCs w:val="20"/>
        </w:rPr>
        <w:t xml:space="preserve">All persons, businesses, and other entities that have accepted Visa and/or MasterCard Credit and/or Debit Cards in the United States from approximately January 1, 2004 to January 25, 2019. This Class does not include the named Defendants, their </w:t>
      </w:r>
      <w:r w:rsidR="0099738E" w:rsidRPr="001E51FA">
        <w:rPr>
          <w:color w:val="221F1F"/>
          <w:sz w:val="20"/>
          <w:szCs w:val="20"/>
        </w:rPr>
        <w:t xml:space="preserve">directors, officers, </w:t>
      </w:r>
      <w:r w:rsidRPr="001E51FA">
        <w:rPr>
          <w:color w:val="221F1F"/>
          <w:sz w:val="20"/>
          <w:szCs w:val="20"/>
        </w:rPr>
        <w:t>or members of their families, or their co-conspirators, or the United States Government.</w:t>
      </w:r>
    </w:p>
    <w:p w:rsidR="00E62867" w:rsidRPr="001E51FA" w:rsidRDefault="00E62867" w:rsidP="00E62867">
      <w:pPr>
        <w:pStyle w:val="BodyText"/>
        <w:rPr>
          <w:sz w:val="20"/>
          <w:szCs w:val="20"/>
        </w:rPr>
      </w:pPr>
    </w:p>
    <w:p w:rsidR="00E62867" w:rsidRPr="001E51FA" w:rsidRDefault="00E62867" w:rsidP="00E62867">
      <w:pPr>
        <w:pStyle w:val="Heading3"/>
        <w:ind w:left="309"/>
        <w:rPr>
          <w:sz w:val="20"/>
          <w:szCs w:val="20"/>
        </w:rPr>
      </w:pPr>
      <w:r w:rsidRPr="001E51FA">
        <w:rPr>
          <w:color w:val="221F1F"/>
          <w:sz w:val="20"/>
          <w:szCs w:val="20"/>
        </w:rPr>
        <w:t>Defendants:</w:t>
      </w:r>
    </w:p>
    <w:p w:rsidR="00E62867" w:rsidRPr="001E51FA" w:rsidRDefault="00E62867" w:rsidP="00E62867">
      <w:pPr>
        <w:pStyle w:val="BodyText"/>
        <w:spacing w:before="6"/>
        <w:rPr>
          <w:b/>
          <w:sz w:val="20"/>
          <w:szCs w:val="20"/>
        </w:rPr>
      </w:pPr>
    </w:p>
    <w:p w:rsidR="00E62867" w:rsidRPr="001E51FA" w:rsidRDefault="00E62867" w:rsidP="00E62867">
      <w:pPr>
        <w:pStyle w:val="ListParagraph"/>
        <w:numPr>
          <w:ilvl w:val="0"/>
          <w:numId w:val="1"/>
        </w:numPr>
        <w:tabs>
          <w:tab w:val="left" w:pos="690"/>
        </w:tabs>
        <w:ind w:hanging="241"/>
        <w:rPr>
          <w:sz w:val="20"/>
          <w:szCs w:val="20"/>
        </w:rPr>
      </w:pPr>
      <w:r w:rsidRPr="001E51FA">
        <w:rPr>
          <w:color w:val="221F1F"/>
          <w:sz w:val="20"/>
          <w:szCs w:val="20"/>
        </w:rPr>
        <w:t>The Visa network and its member</w:t>
      </w:r>
      <w:r w:rsidRPr="001E51FA">
        <w:rPr>
          <w:color w:val="221F1F"/>
          <w:spacing w:val="-4"/>
          <w:sz w:val="20"/>
          <w:szCs w:val="20"/>
        </w:rPr>
        <w:t xml:space="preserve"> </w:t>
      </w:r>
      <w:r w:rsidRPr="001E51FA">
        <w:rPr>
          <w:color w:val="221F1F"/>
          <w:sz w:val="20"/>
          <w:szCs w:val="20"/>
        </w:rPr>
        <w:t>banks;</w:t>
      </w:r>
    </w:p>
    <w:p w:rsidR="00E62867" w:rsidRPr="001E51FA" w:rsidRDefault="00E62867" w:rsidP="00E62867">
      <w:pPr>
        <w:pStyle w:val="ListParagraph"/>
        <w:numPr>
          <w:ilvl w:val="0"/>
          <w:numId w:val="1"/>
        </w:numPr>
        <w:tabs>
          <w:tab w:val="left" w:pos="690"/>
        </w:tabs>
        <w:spacing w:before="9"/>
        <w:ind w:hanging="231"/>
        <w:rPr>
          <w:sz w:val="20"/>
          <w:szCs w:val="20"/>
        </w:rPr>
      </w:pPr>
      <w:r w:rsidRPr="001E51FA">
        <w:rPr>
          <w:color w:val="221F1F"/>
          <w:sz w:val="20"/>
          <w:szCs w:val="20"/>
        </w:rPr>
        <w:t>The MasterCard network and its member banks;</w:t>
      </w:r>
      <w:r w:rsidRPr="001E51FA">
        <w:rPr>
          <w:color w:val="221F1F"/>
          <w:spacing w:val="-5"/>
          <w:sz w:val="20"/>
          <w:szCs w:val="20"/>
        </w:rPr>
        <w:t xml:space="preserve"> </w:t>
      </w:r>
      <w:r w:rsidRPr="001E51FA">
        <w:rPr>
          <w:color w:val="221F1F"/>
          <w:sz w:val="20"/>
          <w:szCs w:val="20"/>
        </w:rPr>
        <w:t>and</w:t>
      </w:r>
    </w:p>
    <w:p w:rsidR="00E62867" w:rsidRPr="001E51FA" w:rsidRDefault="00E62867" w:rsidP="00E62867">
      <w:pPr>
        <w:pStyle w:val="BodyText"/>
        <w:rPr>
          <w:sz w:val="20"/>
          <w:szCs w:val="20"/>
        </w:rPr>
      </w:pPr>
    </w:p>
    <w:p w:rsidR="00E62867" w:rsidRPr="001E51FA" w:rsidRDefault="00E62867" w:rsidP="00E62867">
      <w:pPr>
        <w:pStyle w:val="BodyText"/>
        <w:spacing w:before="6"/>
        <w:rPr>
          <w:sz w:val="20"/>
          <w:szCs w:val="20"/>
        </w:rPr>
      </w:pPr>
    </w:p>
    <w:p w:rsidR="00E62867" w:rsidRPr="001E51FA" w:rsidRDefault="00E62867" w:rsidP="00E62867">
      <w:pPr>
        <w:pStyle w:val="Heading3"/>
        <w:ind w:left="327"/>
        <w:jc w:val="both"/>
        <w:rPr>
          <w:sz w:val="20"/>
          <w:szCs w:val="20"/>
        </w:rPr>
      </w:pPr>
      <w:r w:rsidRPr="001E51FA">
        <w:rPr>
          <w:color w:val="221F1F"/>
          <w:sz w:val="20"/>
          <w:szCs w:val="20"/>
        </w:rPr>
        <w:t>Deadline: TBD</w:t>
      </w:r>
    </w:p>
    <w:p w:rsidR="00E62867" w:rsidRPr="001E51FA" w:rsidRDefault="00E62867" w:rsidP="00E62867">
      <w:pPr>
        <w:pStyle w:val="BodyText"/>
        <w:rPr>
          <w:b/>
          <w:sz w:val="20"/>
          <w:szCs w:val="20"/>
        </w:rPr>
      </w:pPr>
    </w:p>
    <w:p w:rsidR="00E62867" w:rsidRPr="001E51FA" w:rsidRDefault="00E62867" w:rsidP="00E62867">
      <w:pPr>
        <w:pStyle w:val="BodyText"/>
        <w:spacing w:before="2"/>
        <w:rPr>
          <w:b/>
          <w:sz w:val="20"/>
          <w:szCs w:val="20"/>
        </w:rPr>
      </w:pPr>
    </w:p>
    <w:p w:rsidR="00E62867" w:rsidRPr="001E51FA" w:rsidRDefault="00E62867" w:rsidP="00E62867">
      <w:pPr>
        <w:spacing w:line="249" w:lineRule="auto"/>
        <w:ind w:left="334" w:right="212"/>
        <w:rPr>
          <w:b/>
          <w:sz w:val="20"/>
          <w:szCs w:val="20"/>
        </w:rPr>
      </w:pPr>
      <w:r w:rsidRPr="001E51FA">
        <w:rPr>
          <w:b/>
          <w:color w:val="221F1F"/>
          <w:sz w:val="20"/>
          <w:szCs w:val="20"/>
        </w:rPr>
        <w:t>No claim forms are available at this time, and no claim-filing deadline exists. If the Court grants final approval and any appeals are resolved, the Court will approve a claim form and set a claim deadline.</w:t>
      </w:r>
    </w:p>
    <w:p w:rsidR="00E62867" w:rsidRPr="001E51FA" w:rsidRDefault="00E62867" w:rsidP="00E62867">
      <w:pPr>
        <w:pStyle w:val="BodyText"/>
        <w:spacing w:before="4"/>
        <w:rPr>
          <w:b/>
          <w:sz w:val="20"/>
          <w:szCs w:val="20"/>
        </w:rPr>
      </w:pPr>
    </w:p>
    <w:p w:rsidR="00E62867" w:rsidRPr="001E51FA" w:rsidRDefault="00E62867" w:rsidP="0099738E">
      <w:pPr>
        <w:ind w:left="347"/>
        <w:rPr>
          <w:b/>
          <w:sz w:val="20"/>
          <w:szCs w:val="20"/>
        </w:rPr>
      </w:pPr>
      <w:r w:rsidRPr="001E51FA">
        <w:rPr>
          <w:b/>
          <w:color w:val="221F1F"/>
          <w:sz w:val="20"/>
          <w:szCs w:val="20"/>
        </w:rPr>
        <w:t>No-cost assistance will be available from the Class Administrator and Class Counsel during any claims-filing period. No</w:t>
      </w:r>
      <w:r w:rsidR="0099738E" w:rsidRPr="001E51FA">
        <w:rPr>
          <w:b/>
          <w:sz w:val="20"/>
          <w:szCs w:val="20"/>
        </w:rPr>
        <w:t xml:space="preserve"> </w:t>
      </w:r>
      <w:r w:rsidRPr="001E51FA">
        <w:rPr>
          <w:b/>
          <w:color w:val="221F1F"/>
          <w:sz w:val="20"/>
          <w:szCs w:val="20"/>
        </w:rPr>
        <w:t xml:space="preserve">one is required to sign up with any third-party service in order to participate in any monetary relief. For additional information regarding the status of the litigation, interested persons may visit </w:t>
      </w:r>
      <w:hyperlink r:id="rId25">
        <w:r w:rsidRPr="001E51FA">
          <w:rPr>
            <w:b/>
            <w:color w:val="221F1F"/>
            <w:sz w:val="20"/>
            <w:szCs w:val="20"/>
          </w:rPr>
          <w:t xml:space="preserve">www.paymentcardsettlement.com, </w:t>
        </w:r>
      </w:hyperlink>
      <w:r w:rsidRPr="001E51FA">
        <w:rPr>
          <w:b/>
          <w:color w:val="221F1F"/>
          <w:sz w:val="20"/>
          <w:szCs w:val="20"/>
        </w:rPr>
        <w:t>the Court-approved website for this case.</w:t>
      </w:r>
    </w:p>
    <w:p w:rsidR="00E62867" w:rsidRPr="001E51FA" w:rsidRDefault="00E62867" w:rsidP="00E62867">
      <w:pPr>
        <w:pStyle w:val="BodyText"/>
        <w:rPr>
          <w:b/>
          <w:sz w:val="20"/>
          <w:szCs w:val="20"/>
        </w:rPr>
      </w:pPr>
    </w:p>
    <w:p w:rsidR="00E62867" w:rsidRDefault="00E62867" w:rsidP="00E62867">
      <w:pPr>
        <w:pStyle w:val="BodyText"/>
        <w:rPr>
          <w:b/>
          <w:sz w:val="20"/>
        </w:rPr>
      </w:pPr>
    </w:p>
    <w:p w:rsidR="00E62867" w:rsidRDefault="00E62867" w:rsidP="00E62867">
      <w:pPr>
        <w:pStyle w:val="BodyText"/>
        <w:rPr>
          <w:b/>
          <w:sz w:val="20"/>
        </w:rPr>
      </w:pPr>
    </w:p>
    <w:p w:rsidR="0099738E" w:rsidRPr="00B065B9" w:rsidRDefault="00B065B9" w:rsidP="00B065B9">
      <w:pPr>
        <w:spacing w:before="244"/>
        <w:ind w:left="360"/>
        <w:rPr>
          <w:rFonts w:ascii="Verdana"/>
          <w:b/>
          <w:sz w:val="24"/>
        </w:rPr>
      </w:pPr>
      <w:r>
        <w:rPr>
          <w:rFonts w:ascii="Palatino Linotype"/>
          <w:b/>
          <w:color w:val="231F20"/>
          <w:sz w:val="24"/>
        </w:rPr>
        <w:br/>
      </w:r>
      <w:r>
        <w:rPr>
          <w:rFonts w:ascii="Palatino Linotype"/>
          <w:b/>
          <w:color w:val="231F20"/>
          <w:sz w:val="24"/>
        </w:rPr>
        <w:br/>
      </w:r>
      <w:r>
        <w:rPr>
          <w:rFonts w:ascii="Palatino Linotype"/>
          <w:b/>
          <w:color w:val="231F20"/>
          <w:sz w:val="24"/>
        </w:rPr>
        <w:br/>
      </w:r>
      <w:r>
        <w:rPr>
          <w:rFonts w:ascii="Palatino Linotype"/>
          <w:b/>
          <w:color w:val="231F20"/>
          <w:sz w:val="24"/>
        </w:rPr>
        <w:br/>
      </w:r>
      <w:r w:rsidR="00E62867" w:rsidRPr="0099738E">
        <w:rPr>
          <w:rFonts w:ascii="Palatino Linotype"/>
          <w:b/>
          <w:color w:val="231F20"/>
          <w:sz w:val="24"/>
        </w:rPr>
        <w:t>F</w:t>
      </w:r>
      <w:r w:rsidR="00E62867">
        <w:rPr>
          <w:rFonts w:ascii="Verdana"/>
          <w:b/>
          <w:color w:val="231F20"/>
          <w:sz w:val="24"/>
        </w:rPr>
        <w:t xml:space="preserve">or more information, please visit our company website: </w:t>
      </w:r>
      <w:hyperlink r:id="rId26" w:history="1">
        <w:r w:rsidRPr="00902A0A">
          <w:rPr>
            <w:rStyle w:val="Hyperlink"/>
            <w:rFonts w:ascii="Verdana"/>
            <w:b/>
            <w:sz w:val="24"/>
          </w:rPr>
          <w:t>www.jelcrs.com</w:t>
        </w:r>
      </w:hyperlink>
      <w:r>
        <w:rPr>
          <w:rFonts w:ascii="Verdana"/>
          <w:b/>
          <w:color w:val="231F20"/>
          <w:sz w:val="24"/>
        </w:rPr>
        <w:br/>
      </w:r>
      <w:r>
        <w:rPr>
          <w:rFonts w:ascii="Verdana"/>
          <w:b/>
          <w:color w:val="231F20"/>
          <w:sz w:val="24"/>
        </w:rPr>
        <w:br/>
      </w:r>
      <w:r w:rsidR="00E62867">
        <w:rPr>
          <w:color w:val="211E1F"/>
        </w:rPr>
        <w:t>305 Laurel Falls Drive, Apollo Beach,</w:t>
      </w:r>
      <w:r w:rsidR="00E62867">
        <w:rPr>
          <w:color w:val="211E1F"/>
          <w:spacing w:val="-18"/>
        </w:rPr>
        <w:t xml:space="preserve"> </w:t>
      </w:r>
      <w:r w:rsidR="00E62867">
        <w:rPr>
          <w:color w:val="211E1F"/>
        </w:rPr>
        <w:t>FL</w:t>
      </w:r>
      <w:r w:rsidR="00E62867">
        <w:rPr>
          <w:color w:val="211E1F"/>
          <w:spacing w:val="-3"/>
        </w:rPr>
        <w:t xml:space="preserve"> </w:t>
      </w:r>
      <w:r w:rsidR="00E62867">
        <w:rPr>
          <w:color w:val="211E1F"/>
        </w:rPr>
        <w:t>33572</w:t>
      </w:r>
      <w:r w:rsidR="00E62867">
        <w:rPr>
          <w:color w:val="211E1F"/>
        </w:rPr>
        <w:tab/>
        <w:t>Phone:</w:t>
      </w:r>
      <w:r w:rsidR="00E62867">
        <w:rPr>
          <w:color w:val="211E1F"/>
          <w:spacing w:val="53"/>
        </w:rPr>
        <w:t xml:space="preserve"> </w:t>
      </w:r>
      <w:r w:rsidR="00E62867">
        <w:rPr>
          <w:color w:val="211E1F"/>
        </w:rPr>
        <w:t>(845)</w:t>
      </w:r>
      <w:r w:rsidR="00E62867">
        <w:rPr>
          <w:color w:val="211E1F"/>
          <w:spacing w:val="-1"/>
        </w:rPr>
        <w:t xml:space="preserve"> </w:t>
      </w:r>
      <w:r w:rsidR="00E62867">
        <w:rPr>
          <w:color w:val="211E1F"/>
        </w:rPr>
        <w:t>445-6651</w:t>
      </w:r>
      <w:r w:rsidR="00E62867">
        <w:rPr>
          <w:color w:val="211E1F"/>
        </w:rPr>
        <w:tab/>
      </w:r>
      <w:hyperlink r:id="rId27">
        <w:r w:rsidR="00E62867">
          <w:rPr>
            <w:color w:val="211E1F"/>
          </w:rPr>
          <w:t>www.jelcrs.com</w:t>
        </w:r>
      </w:hyperlink>
    </w:p>
    <w:p w:rsidR="00D67FD5" w:rsidRDefault="0099738E" w:rsidP="0099738E">
      <w:pPr>
        <w:pStyle w:val="Heading2"/>
        <w:spacing w:before="94"/>
        <w:ind w:left="0" w:right="160"/>
        <w:jc w:val="right"/>
      </w:pPr>
      <w:r>
        <w:rPr>
          <w:b w:val="0"/>
        </w:rPr>
        <w:t>11</w:t>
      </w:r>
      <w:r w:rsidR="00E62867">
        <w:t>/</w:t>
      </w:r>
      <w:r>
        <w:rPr>
          <w:b w:val="0"/>
        </w:rPr>
        <w:t>4</w:t>
      </w:r>
      <w:r>
        <w:t>/</w:t>
      </w:r>
      <w:r w:rsidRPr="0099738E">
        <w:rPr>
          <w:b w:val="0"/>
        </w:rPr>
        <w:t>19</w:t>
      </w:r>
    </w:p>
    <w:sectPr w:rsidR="00D67FD5" w:rsidSect="001221EC">
      <w:pgSz w:w="12240" w:h="15840"/>
      <w:pgMar w:top="1080" w:right="540" w:bottom="5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altName w:val="Palatino Linotype"/>
    <w:panose1 w:val="02040502050505030304"/>
    <w:charset w:val="00"/>
    <w:family w:val="roman"/>
    <w:pitch w:val="variable"/>
    <w:sig w:usb0="E0000287" w:usb1="40000013"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867"/>
    <w:rsid w:val="001221EC"/>
    <w:rsid w:val="001E51FA"/>
    <w:rsid w:val="0099738E"/>
    <w:rsid w:val="00B065B9"/>
    <w:rsid w:val="00E15631"/>
    <w:rsid w:val="00E62867"/>
    <w:rsid w:val="00ED2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CF7C21-F649-4BD7-9308-0A8710461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62867"/>
    <w:pPr>
      <w:widowControl w:val="0"/>
      <w:autoSpaceDE w:val="0"/>
      <w:autoSpaceDN w:val="0"/>
      <w:spacing w:after="0" w:line="240" w:lineRule="auto"/>
    </w:pPr>
    <w:rPr>
      <w:rFonts w:ascii="Arial" w:eastAsia="Arial" w:hAnsi="Arial" w:cs="Arial"/>
    </w:rPr>
  </w:style>
  <w:style w:type="paragraph" w:styleId="Heading2">
    <w:name w:val="heading 2"/>
    <w:basedOn w:val="Normal"/>
    <w:link w:val="Heading2Char"/>
    <w:uiPriority w:val="1"/>
    <w:qFormat/>
    <w:rsid w:val="00E62867"/>
    <w:pPr>
      <w:spacing w:before="13"/>
      <w:ind w:left="20"/>
      <w:outlineLvl w:val="1"/>
    </w:pPr>
    <w:rPr>
      <w:b/>
      <w:bCs/>
      <w:sz w:val="20"/>
      <w:szCs w:val="20"/>
    </w:rPr>
  </w:style>
  <w:style w:type="paragraph" w:styleId="Heading3">
    <w:name w:val="heading 3"/>
    <w:basedOn w:val="Normal"/>
    <w:link w:val="Heading3Char"/>
    <w:uiPriority w:val="1"/>
    <w:qFormat/>
    <w:rsid w:val="00E62867"/>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E62867"/>
    <w:rPr>
      <w:rFonts w:ascii="Arial" w:eastAsia="Arial" w:hAnsi="Arial" w:cs="Arial"/>
      <w:b/>
      <w:bCs/>
      <w:sz w:val="20"/>
      <w:szCs w:val="20"/>
    </w:rPr>
  </w:style>
  <w:style w:type="character" w:customStyle="1" w:styleId="Heading3Char">
    <w:name w:val="Heading 3 Char"/>
    <w:basedOn w:val="DefaultParagraphFont"/>
    <w:link w:val="Heading3"/>
    <w:uiPriority w:val="1"/>
    <w:rsid w:val="00E62867"/>
    <w:rPr>
      <w:rFonts w:ascii="Arial" w:eastAsia="Arial" w:hAnsi="Arial" w:cs="Arial"/>
      <w:b/>
      <w:bCs/>
      <w:sz w:val="18"/>
      <w:szCs w:val="18"/>
    </w:rPr>
  </w:style>
  <w:style w:type="paragraph" w:styleId="BodyText">
    <w:name w:val="Body Text"/>
    <w:basedOn w:val="Normal"/>
    <w:link w:val="BodyTextChar"/>
    <w:uiPriority w:val="1"/>
    <w:qFormat/>
    <w:rsid w:val="00E62867"/>
    <w:rPr>
      <w:sz w:val="18"/>
      <w:szCs w:val="18"/>
    </w:rPr>
  </w:style>
  <w:style w:type="character" w:customStyle="1" w:styleId="BodyTextChar">
    <w:name w:val="Body Text Char"/>
    <w:basedOn w:val="DefaultParagraphFont"/>
    <w:link w:val="BodyText"/>
    <w:uiPriority w:val="1"/>
    <w:rsid w:val="00E62867"/>
    <w:rPr>
      <w:rFonts w:ascii="Arial" w:eastAsia="Arial" w:hAnsi="Arial" w:cs="Arial"/>
      <w:sz w:val="18"/>
      <w:szCs w:val="18"/>
    </w:rPr>
  </w:style>
  <w:style w:type="paragraph" w:styleId="ListParagraph">
    <w:name w:val="List Paragraph"/>
    <w:basedOn w:val="Normal"/>
    <w:uiPriority w:val="1"/>
    <w:qFormat/>
    <w:rsid w:val="00E62867"/>
    <w:pPr>
      <w:spacing w:before="1"/>
      <w:ind w:left="689" w:hanging="241"/>
    </w:pPr>
  </w:style>
  <w:style w:type="character" w:styleId="Hyperlink">
    <w:name w:val="Hyperlink"/>
    <w:basedOn w:val="DefaultParagraphFont"/>
    <w:uiPriority w:val="99"/>
    <w:unhideWhenUsed/>
    <w:rsid w:val="00B065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www.jelcrs.com"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www.paymentcardsettlement.co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www.jelc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Glenn Appleyard</cp:lastModifiedBy>
  <cp:revision>5</cp:revision>
  <dcterms:created xsi:type="dcterms:W3CDTF">2019-10-24T16:42:00Z</dcterms:created>
  <dcterms:modified xsi:type="dcterms:W3CDTF">2019-11-04T13:39:00Z</dcterms:modified>
</cp:coreProperties>
</file>