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Georges Pizza Inc.</w:t>
      </w:r>
      <w:r w:rsidRPr="00950A90">
        <w:rPr>
          <w:color w:val="211E1F"/>
        </w:rPr>
        <w:t xml:space="preserve"> and its affiliates, located at </w:t>
      </w:r>
      <w:r w:rsidR="009F1B37" w:rsidRPr="009F1B37">
        <w:rPr>
          <w:b/>
          <w:bCs/>
          <w:color w:val="211E1F"/>
        </w:rPr>
        <w:t>2027 Park Street, Hartford, 06106,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