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Sparkill Steakhouse LLC</w:t>
      </w:r>
      <w:r w:rsidRPr="00950A90">
        <w:rPr>
          <w:color w:val="211E1F"/>
        </w:rPr>
        <w:t xml:space="preserve"> and its affiliates, located at </w:t>
      </w:r>
      <w:r w:rsidR="009F1B37" w:rsidRPr="009F1B37">
        <w:rPr>
          <w:b/>
          <w:bCs/>
          <w:color w:val="211E1F"/>
        </w:rPr>
        <w:t>500 Route 340, Sparkill, New York, 10976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