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Pac Inc.</w:t>
      </w:r>
      <w:r w:rsidRPr="00950A90">
        <w:rPr>
          <w:color w:val="211E1F"/>
        </w:rPr>
        <w:t xml:space="preserve"> and its affiliates, located at </w:t>
      </w:r>
      <w:r w:rsidR="009F1B37" w:rsidRPr="009F1B37">
        <w:rPr>
          <w:b/>
          <w:bCs/>
          <w:color w:val="211E1F"/>
        </w:rPr>
        <w:t>737 Bridgeport Ave, Shelton, 6418,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