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Intcomex Inc.</w:t>
      </w:r>
      <w:r w:rsidRPr="00950A90">
        <w:rPr>
          <w:color w:val="211E1F"/>
        </w:rPr>
        <w:t xml:space="preserve"> and its affiliates, located at </w:t>
      </w:r>
      <w:r w:rsidR="009F1B37" w:rsidRPr="009F1B37">
        <w:rPr>
          <w:b/>
          <w:bCs/>
          <w:color w:val="211E1F"/>
        </w:rPr>
        <w:t>3505 NW 107TH AVE, Miami, 33178,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