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Athens Inc.</w:t>
      </w:r>
      <w:r w:rsidRPr="00950A90">
        <w:rPr>
          <w:color w:val="211E1F"/>
        </w:rPr>
        <w:t xml:space="preserve"> and its affiliates, located at </w:t>
      </w:r>
      <w:r w:rsidR="009F1B37" w:rsidRPr="009F1B37">
        <w:rPr>
          <w:b/>
          <w:bCs/>
          <w:color w:val="211E1F"/>
        </w:rPr>
        <w:t>3350 Post Rd, Southport, 6490,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