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22nd</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Michael W. Golz DC LLC</w:t>
      </w:r>
      <w:r w:rsidRPr="00950A90">
        <w:rPr>
          <w:color w:val="211E1F"/>
        </w:rPr>
        <w:t xml:space="preserve"> and its affiliates, located at </w:t>
      </w:r>
      <w:r w:rsidR="009F1B37" w:rsidRPr="009F1B37">
        <w:rPr>
          <w:b/>
          <w:bCs/>
          <w:color w:val="211E1F"/>
        </w:rPr>
        <w:t>719 Franklin Avenue, Franklin Lakes, 07417,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