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Annex Communications</w:t>
      </w:r>
      <w:r w:rsidRPr="00950A90">
        <w:rPr>
          <w:color w:val="211E1F"/>
        </w:rPr>
        <w:t xml:space="preserve"> and its affiliates, located at </w:t>
      </w:r>
      <w:r w:rsidR="009F1B37" w:rsidRPr="009F1B37">
        <w:rPr>
          <w:b/>
          <w:bCs/>
          <w:color w:val="211E1F"/>
        </w:rPr>
        <w:t>14 King Street, Waldwick, 07463, New Jersey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