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Greater New York Chamber</w:t>
      </w:r>
      <w:r w:rsidRPr="00950A90">
        <w:rPr>
          <w:color w:val="211E1F"/>
        </w:rPr>
        <w:t xml:space="preserve"> and its affiliates, located at </w:t>
      </w:r>
      <w:r w:rsidR="009F1B37" w:rsidRPr="009F1B37">
        <w:rPr>
          <w:b/>
          <w:bCs/>
          <w:color w:val="211E1F"/>
        </w:rPr>
        <w:t>20 West 44th St.   4th Floor, New York, New York, 10036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