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The Angeli Group at Keller Williams</w:t>
      </w:r>
      <w:r w:rsidRPr="00950A90">
        <w:rPr>
          <w:color w:val="211E1F"/>
        </w:rPr>
        <w:t xml:space="preserve"> and its affiliates, located at </w:t>
      </w:r>
      <w:r w:rsidR="009F1B37" w:rsidRPr="009F1B37">
        <w:rPr>
          <w:b/>
          <w:bCs/>
          <w:color w:val="211E1F"/>
        </w:rPr>
        <w:t>301 Route 17N, Suite 204, Rutherford, NJ, 07070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 Angeli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