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KCMR LLC</w:t>
      </w:r>
      <w:r w:rsidRPr="00950A90">
        <w:rPr>
          <w:color w:val="211E1F"/>
        </w:rPr>
        <w:t xml:space="preserve"> and its affiliates, located at </w:t>
      </w:r>
      <w:r w:rsidR="009F1B37" w:rsidRPr="009F1B37">
        <w:rPr>
          <w:b/>
          <w:bCs/>
          <w:color w:val="211E1F"/>
        </w:rPr>
        <w:t>27 Robinhood Lane, Setauket, NY, 11733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