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Badcock Home Furnishing</w:t>
      </w:r>
      <w:r w:rsidRPr="00950A90">
        <w:rPr>
          <w:color w:val="211E1F"/>
        </w:rPr>
        <w:t xml:space="preserve"> and its affiliates, located at </w:t>
      </w:r>
      <w:r w:rsidR="009F1B37" w:rsidRPr="009F1B37">
        <w:rPr>
          <w:b/>
          <w:bCs/>
          <w:color w:val="211E1F"/>
        </w:rPr>
        <w:t>200 N Phosphate Blvd, Mulberry, FL, 33860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Wheary</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