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Lifeline Medical Inc</w:t>
      </w:r>
      <w:r w:rsidRPr="00950A90">
        <w:rPr>
          <w:color w:val="211E1F"/>
        </w:rPr>
        <w:t xml:space="preserve"> and its affiliates, located at </w:t>
      </w:r>
      <w:r w:rsidR="009F1B37" w:rsidRPr="009F1B37">
        <w:rPr>
          <w:b/>
          <w:bCs/>
          <w:color w:val="211E1F"/>
        </w:rPr>
        <w:t>15241 Telcom Dr., Brooksville, FL, 34604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