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ISC Building Materials</w:t>
      </w:r>
      <w:r w:rsidRPr="00950A90">
        <w:rPr>
          <w:color w:val="211E1F"/>
        </w:rPr>
        <w:t xml:space="preserve"> and its affiliates, located at </w:t>
      </w:r>
      <w:r w:rsidR="009F1B37" w:rsidRPr="009F1B37">
        <w:rPr>
          <w:b/>
          <w:bCs/>
          <w:color w:val="211E1F"/>
        </w:rPr>
        <w:t>7645  Railhead Lane, Houston, 77086, TX</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