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06th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AVELLINO INC.</w:t>
      </w:r>
      <w:r w:rsidRPr="00950A90">
        <w:rPr>
          <w:color w:val="211E1F"/>
        </w:rPr>
        <w:t xml:space="preserve"> and its affiliates, located at </w:t>
      </w:r>
      <w:r w:rsidR="009F1B37" w:rsidRPr="009F1B37">
        <w:rPr>
          <w:b/>
          <w:bCs/>
          <w:color w:val="211E1F"/>
        </w:rPr>
        <w:t>167 ROUTE 6, MAHOPAC, ,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