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RGG Enterprise</w:t>
      </w:r>
      <w:r w:rsidRPr="00950A90">
        <w:rPr>
          <w:color w:val="211E1F"/>
        </w:rPr>
        <w:t xml:space="preserve"> and its affiliates, located at </w:t>
      </w:r>
      <w:r w:rsidR="009F1B37" w:rsidRPr="009F1B37">
        <w:rPr>
          <w:b/>
          <w:bCs/>
          <w:color w:val="211E1F"/>
        </w:rPr>
        <w:t>14958 Cross Island Pkwy, Whitstone, NY, 11357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