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5BC0" w14:textId="77777777" w:rsidR="0099284E" w:rsidRDefault="0099284E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Project Report: Wireframe to Responsive Static Web Page</w:t>
      </w:r>
    </w:p>
    <w:p w14:paraId="3ADEC9CA" w14:textId="77777777" w:rsidR="0099284E" w:rsidRDefault="0099284E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Style w:val="Strong"/>
          <w:rFonts w:ascii="Calibri" w:hAnsi="Calibri" w:cs="Calibri"/>
          <w:color w:val="1E293B"/>
          <w:sz w:val="22"/>
          <w:szCs w:val="22"/>
        </w:rPr>
        <w:t>Project Title:</w:t>
      </w:r>
      <w:r>
        <w:rPr>
          <w:rFonts w:ascii="Calibri" w:hAnsi="Calibri" w:cs="Calibri"/>
          <w:color w:val="1E293B"/>
          <w:sz w:val="22"/>
          <w:szCs w:val="22"/>
        </w:rPr>
        <w:t xml:space="preserve"> NovaFlow — Wireframe-to-Code Implementation (HTML5 &amp; CSS3)</w:t>
      </w:r>
      <w:r>
        <w:rPr>
          <w:rFonts w:ascii="Calibri" w:hAnsi="Calibri" w:cs="Calibri"/>
          <w:color w:val="1E293B"/>
          <w:sz w:val="22"/>
          <w:szCs w:val="22"/>
        </w:rPr>
        <w:br/>
      </w:r>
      <w:r>
        <w:rPr>
          <w:rStyle w:val="Strong"/>
          <w:rFonts w:ascii="Calibri" w:hAnsi="Calibri" w:cs="Calibri"/>
          <w:color w:val="1E293B"/>
          <w:sz w:val="22"/>
          <w:szCs w:val="22"/>
        </w:rPr>
        <w:t>Deliverables:</w:t>
      </w:r>
      <w:r>
        <w:rPr>
          <w:rFonts w:ascii="Calibri" w:hAnsi="Calibri" w:cs="Calibri"/>
          <w:color w:val="1E293B"/>
          <w:sz w:val="22"/>
          <w:szCs w:val="22"/>
        </w:rPr>
        <w:t xml:space="preserve"> </w:t>
      </w:r>
      <w:r>
        <w:rPr>
          <w:rStyle w:val="HTMLCode"/>
        </w:rPr>
        <w:t>index.html</w:t>
      </w:r>
      <w:r>
        <w:rPr>
          <w:rFonts w:ascii="Calibri" w:hAnsi="Calibri" w:cs="Calibri"/>
          <w:color w:val="1E293B"/>
          <w:sz w:val="22"/>
          <w:szCs w:val="22"/>
        </w:rPr>
        <w:t xml:space="preserve"> (Semantic HTML5), </w:t>
      </w:r>
      <w:r>
        <w:rPr>
          <w:rStyle w:val="HTMLCode"/>
        </w:rPr>
        <w:t>styles.css</w:t>
      </w:r>
      <w:r>
        <w:rPr>
          <w:rFonts w:ascii="Calibri" w:hAnsi="Calibri" w:cs="Calibri"/>
          <w:color w:val="1E293B"/>
          <w:sz w:val="22"/>
          <w:szCs w:val="22"/>
        </w:rPr>
        <w:t xml:space="preserve"> (Responsive CSS3), and Project Report</w:t>
      </w:r>
    </w:p>
    <w:p w14:paraId="0FF01996" w14:textId="77777777" w:rsidR="0099284E" w:rsidRDefault="0099284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 &amp; Wireframe Analysis</w:t>
      </w:r>
    </w:p>
    <w:p w14:paraId="091242BF" w14:textId="77777777" w:rsidR="0099284E" w:rsidRDefault="0099284E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 xml:space="preserve">The objective of this task was to convert a multi-section wireframe concept into a fully functional, pixel-perfect, and responsive static web page using semantic </w:t>
      </w:r>
      <w:r>
        <w:rPr>
          <w:rStyle w:val="Strong"/>
          <w:rFonts w:ascii="Calibri" w:hAnsi="Calibri" w:cs="Calibri"/>
          <w:color w:val="1E293B"/>
          <w:sz w:val="22"/>
          <w:szCs w:val="22"/>
        </w:rPr>
        <w:t>HTML5</w:t>
      </w:r>
      <w:r>
        <w:rPr>
          <w:rFonts w:ascii="Calibri" w:hAnsi="Calibri" w:cs="Calibri"/>
          <w:color w:val="1E293B"/>
          <w:sz w:val="22"/>
          <w:szCs w:val="22"/>
        </w:rPr>
        <w:t xml:space="preserve"> and modern </w:t>
      </w:r>
      <w:r>
        <w:rPr>
          <w:rStyle w:val="Strong"/>
          <w:rFonts w:ascii="Calibri" w:hAnsi="Calibri" w:cs="Calibri"/>
          <w:color w:val="1E293B"/>
          <w:sz w:val="22"/>
          <w:szCs w:val="22"/>
        </w:rPr>
        <w:t>CSS3</w:t>
      </w:r>
      <w:r>
        <w:rPr>
          <w:rFonts w:ascii="Calibri" w:hAnsi="Calibri" w:cs="Calibri"/>
          <w:color w:val="1E293B"/>
          <w:sz w:val="22"/>
          <w:szCs w:val="22"/>
        </w:rPr>
        <w:t>.</w:t>
      </w:r>
    </w:p>
    <w:p w14:paraId="1C975628" w14:textId="77777777" w:rsidR="0099284E" w:rsidRDefault="0099284E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Before writing code, the wireframe design was analyzed and decomposed into eight primary layout regions:</w:t>
      </w:r>
    </w:p>
    <w:p w14:paraId="74D0FBEB" w14:textId="77777777" w:rsidR="0099284E" w:rsidRDefault="0099284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Top Wireframe Inspector Bar: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Provides an interactive </w:t>
      </w:r>
      <w:r>
        <w:rPr>
          <w:rStyle w:val="Emphasis"/>
          <w:rFonts w:ascii="Calibri" w:eastAsia="Times New Roman" w:hAnsi="Calibri" w:cs="Calibri"/>
          <w:color w:val="1E293B"/>
          <w:sz w:val="22"/>
          <w:szCs w:val="22"/>
        </w:rPr>
        <w:t>Wireframe Blueprint Mode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toggle that allows evaluators to inspect structural dashed boxes and semantic HTML tags live in the browser.</w:t>
      </w:r>
    </w:p>
    <w:p w14:paraId="105D59D7" w14:textId="77777777" w:rsidR="0099284E" w:rsidRDefault="0099284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Sticky Header &amp; Navigation (</w:t>
      </w:r>
      <w:r>
        <w:rPr>
          <w:rStyle w:val="HTMLCode"/>
          <w:b/>
          <w:bCs/>
        </w:rPr>
        <w:t>&lt;header&gt;</w:t>
      </w: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 xml:space="preserve">, </w:t>
      </w:r>
      <w:r>
        <w:rPr>
          <w:rStyle w:val="HTMLCode"/>
          <w:b/>
          <w:bCs/>
        </w:rPr>
        <w:t>&lt;nav&gt;</w:t>
      </w: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):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</w:rPr>
        <w:t>Displays brand identity on the left, primary navigation links in the center, and CTA buttons on the right, collapsing into a touch-friendly hamburger drawer on mobile screens.</w:t>
      </w:r>
    </w:p>
    <w:p w14:paraId="684C3D22" w14:textId="77777777" w:rsidR="0099284E" w:rsidRDefault="0099284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Split Hero Section (</w:t>
      </w:r>
      <w:r>
        <w:rPr>
          <w:rStyle w:val="HTMLCode"/>
          <w:b/>
          <w:bCs/>
        </w:rPr>
        <w:t>&lt;section.hero-section&gt;</w:t>
      </w: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):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Two-column layout pairing headline typography, value proposition copy, and action buttons with an interactive CSS-built UI mockup preview card.</w:t>
      </w:r>
    </w:p>
    <w:p w14:paraId="4FD22BC0" w14:textId="77777777" w:rsidR="0099284E" w:rsidRDefault="0099284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Performance Metrics Strip (</w:t>
      </w:r>
      <w:r>
        <w:rPr>
          <w:rStyle w:val="HTMLCode"/>
          <w:b/>
          <w:bCs/>
        </w:rPr>
        <w:t>&lt;section.metrics-strip&gt;</w:t>
      </w: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):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High-contrast 4-column statistical banner bridging the hero and feature sections.</w:t>
      </w:r>
    </w:p>
    <w:p w14:paraId="4CE53BE4" w14:textId="77777777" w:rsidR="0099284E" w:rsidRDefault="0099284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Core Features Grid (</w:t>
      </w:r>
      <w:r>
        <w:rPr>
          <w:rStyle w:val="HTMLCode"/>
          <w:b/>
          <w:bCs/>
        </w:rPr>
        <w:t>&lt;section.features-section&gt;</w:t>
      </w: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):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Symmetric 3×2 grid of modular </w:t>
      </w:r>
      <w:r>
        <w:rPr>
          <w:rStyle w:val="HTMLCode"/>
        </w:rPr>
        <w:t>&lt;article&gt;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cards with consistent 8pt spacing.</w:t>
      </w:r>
    </w:p>
    <w:p w14:paraId="11377D30" w14:textId="77777777" w:rsidR="0099284E" w:rsidRDefault="0099284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Content + Sidebar Workspace (</w:t>
      </w:r>
      <w:r>
        <w:rPr>
          <w:rStyle w:val="HTMLCode"/>
          <w:b/>
          <w:bCs/>
        </w:rPr>
        <w:t>&lt;section.workspace-section&gt;</w:t>
      </w: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):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Asymmetric 2:1 wireframe split pairing primary case-study articles on the left with a sticky specification </w:t>
      </w:r>
      <w:r>
        <w:rPr>
          <w:rStyle w:val="HTMLCode"/>
        </w:rPr>
        <w:t>&lt;aside&gt;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sidebar on the right.</w:t>
      </w:r>
    </w:p>
    <w:p w14:paraId="18CA485F" w14:textId="77777777" w:rsidR="0099284E" w:rsidRDefault="0099284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Pricing Tiers &amp; Testimonials: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3-column height-equalized pricing comparison table and 2-column </w:t>
      </w:r>
      <w:r>
        <w:rPr>
          <w:rStyle w:val="HTMLCode"/>
        </w:rPr>
        <w:t>&lt;blockquote&gt;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reviews, followed by a newsletter Call-to-Action banner.</w:t>
      </w:r>
    </w:p>
    <w:p w14:paraId="23472540" w14:textId="77777777" w:rsidR="0099284E" w:rsidRDefault="0099284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Multi-Column Footer (</w:t>
      </w:r>
      <w:r>
        <w:rPr>
          <w:rStyle w:val="HTMLCode"/>
          <w:b/>
          <w:bCs/>
        </w:rPr>
        <w:t>&lt;footer</w:t>
      </w:r>
      <w:r>
        <w:rPr>
          <w:rStyle w:val="HTMLCode"/>
          <w:b/>
          <w:bCs/>
        </w:rPr>
        <w:t>&gt;</w:t>
      </w: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):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4-column sitemap and copyright bar with a quick Back-to-Top anchor link.</w:t>
      </w:r>
    </w:p>
    <w:p w14:paraId="7B6CDFB0" w14:textId="77777777" w:rsidR="0099284E" w:rsidRDefault="0099284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Semantic HTML5 Structure &amp; Accessibility</w:t>
      </w:r>
    </w:p>
    <w:p w14:paraId="1ACE622B" w14:textId="77777777" w:rsidR="0099284E" w:rsidRDefault="0099284E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 xml:space="preserve">To avoid generic </w:t>
      </w:r>
      <w:r>
        <w:rPr>
          <w:rStyle w:val="HTMLCode"/>
        </w:rPr>
        <w:t>&lt;div&gt;</w:t>
      </w:r>
      <w:r>
        <w:rPr>
          <w:rFonts w:ascii="Calibri" w:hAnsi="Calibri" w:cs="Calibri"/>
          <w:color w:val="1E293B"/>
          <w:sz w:val="22"/>
          <w:szCs w:val="22"/>
        </w:rPr>
        <w:t xml:space="preserve"> soup and ensure accessibility and SEO compliance, every wireframe box was mapped to its appropriate HTML5 semantic landmark: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179"/>
        <w:gridCol w:w="4008"/>
      </w:tblGrid>
      <w:tr w:rsidR="00000000" w14:paraId="13AA2B71" w14:textId="77777777">
        <w:trPr>
          <w:tblHeader/>
        </w:trPr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98CF94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Wireframe Region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360574D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Semantic HTML Tag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2020C9A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Design Hierarchy &amp; Accessibility Role</w:t>
            </w:r>
          </w:p>
        </w:tc>
      </w:tr>
      <w:tr w:rsidR="00000000" w14:paraId="2B35C959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2514A13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Top Header Bar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935AFA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&lt;header&gt;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15D268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Identifies the sticky site header and introductory navigation container.</w:t>
            </w:r>
          </w:p>
        </w:tc>
      </w:tr>
      <w:tr w:rsidR="00000000" w14:paraId="0E1FC527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97A2343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lastRenderedPageBreak/>
              <w:t>Primary Menu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A7A990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&lt;nav aria-label="Primary Navigation"&gt;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20EC8D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Exposes primary navigation links to screen readers and assistive technologies.</w:t>
            </w:r>
          </w:p>
        </w:tc>
      </w:tr>
      <w:tr w:rsidR="00000000" w14:paraId="33013C01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3DB1A2B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Main Page Content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87DBE2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&lt;main id="main-content"&gt;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20B351B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Encloses core page sections and connects to the keyboard </w:t>
            </w:r>
            <w:r>
              <w:rPr>
                <w:rStyle w:val="HTMLCode"/>
              </w:rPr>
              <w:t>.skip-link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.</w:t>
            </w:r>
          </w:p>
        </w:tc>
      </w:tr>
      <w:tr w:rsidR="00000000" w14:paraId="53A16A62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67BB1E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Thematic Sections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82560D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&lt;section aria-labelledby="..."&gt;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2BF6A2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Groups related content blocks and binds each region to its section heading.</w:t>
            </w:r>
          </w:p>
        </w:tc>
      </w:tr>
      <w:tr w:rsidR="00000000" w14:paraId="2387B706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27B2104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Feature &amp; Pricing Cards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AE9A79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&lt;article&gt;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691642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Encapsulates self-contained feature items, case studies, and pricing tiers.</w:t>
            </w:r>
          </w:p>
        </w:tc>
      </w:tr>
      <w:tr w:rsidR="00000000" w14:paraId="111FE3B7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851AE0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Specification Sidebar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564D7F9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&lt;aside&gt;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BE21B4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Contains supplementary design system color swatches and interactive tips.</w:t>
            </w:r>
          </w:p>
        </w:tc>
      </w:tr>
      <w:tr w:rsidR="00000000" w14:paraId="504FC7CE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6F977C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Customer Reviews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1325C5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&lt;blockquote&gt;</w:t>
            </w: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 xml:space="preserve"> + </w:t>
            </w:r>
            <w:r>
              <w:rPr>
                <w:rStyle w:val="HTMLCode"/>
              </w:rPr>
              <w:t>&lt;cite&gt;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49CD979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Semantically attributes engineering mentor testimonials.</w:t>
            </w:r>
          </w:p>
        </w:tc>
      </w:tr>
      <w:tr w:rsidR="00000000" w14:paraId="529AE4F7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B1034D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Site Footer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D8762A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&lt;footer&gt;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3A1740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Closes the document outline with structured sitemap lists and metadata.</w:t>
            </w:r>
          </w:p>
        </w:tc>
      </w:tr>
    </w:tbl>
    <w:p w14:paraId="1B4EB518" w14:textId="77777777" w:rsidR="0099284E" w:rsidRDefault="0099284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CSS Architecture &amp; Layout Strategies</w:t>
      </w:r>
    </w:p>
    <w:p w14:paraId="358619A2" w14:textId="77777777" w:rsidR="0099284E" w:rsidRDefault="0099284E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The stylesheet (</w:t>
      </w:r>
      <w:r>
        <w:rPr>
          <w:rStyle w:val="HTMLCode"/>
        </w:rPr>
        <w:t>styles.css</w:t>
      </w:r>
      <w:r>
        <w:rPr>
          <w:rFonts w:ascii="Calibri" w:hAnsi="Calibri" w:cs="Calibri"/>
          <w:color w:val="1E293B"/>
          <w:sz w:val="22"/>
          <w:szCs w:val="22"/>
        </w:rPr>
        <w:t xml:space="preserve">) is organized into 13 modular sections using centralized </w:t>
      </w:r>
      <w:r>
        <w:rPr>
          <w:rStyle w:val="Strong"/>
          <w:rFonts w:ascii="Calibri" w:hAnsi="Calibri" w:cs="Calibri"/>
          <w:color w:val="1E293B"/>
          <w:sz w:val="22"/>
          <w:szCs w:val="22"/>
        </w:rPr>
        <w:t>CSS Custom Properties (</w:t>
      </w:r>
      <w:r>
        <w:rPr>
          <w:rStyle w:val="HTMLCode"/>
          <w:b/>
          <w:bCs/>
        </w:rPr>
        <w:t>:root</w:t>
      </w:r>
      <w:r>
        <w:rPr>
          <w:rStyle w:val="Strong"/>
          <w:rFonts w:ascii="Calibri" w:hAnsi="Calibri" w:cs="Calibri"/>
          <w:color w:val="1E293B"/>
          <w:sz w:val="22"/>
          <w:szCs w:val="22"/>
        </w:rPr>
        <w:t xml:space="preserve"> design tokens)</w:t>
      </w:r>
      <w:r>
        <w:rPr>
          <w:rFonts w:ascii="Calibri" w:hAnsi="Calibri" w:cs="Calibri"/>
          <w:color w:val="1E293B"/>
          <w:sz w:val="22"/>
          <w:szCs w:val="22"/>
        </w:rPr>
        <w:t xml:space="preserve"> and a dual-layout architecture combining </w:t>
      </w:r>
      <w:r>
        <w:rPr>
          <w:rStyle w:val="Strong"/>
          <w:rFonts w:ascii="Calibri" w:hAnsi="Calibri" w:cs="Calibri"/>
          <w:color w:val="1E293B"/>
          <w:sz w:val="22"/>
          <w:szCs w:val="22"/>
        </w:rPr>
        <w:t>CSS Grid</w:t>
      </w:r>
      <w:r>
        <w:rPr>
          <w:rFonts w:ascii="Calibri" w:hAnsi="Calibri" w:cs="Calibri"/>
          <w:color w:val="1E293B"/>
          <w:sz w:val="22"/>
          <w:szCs w:val="22"/>
        </w:rPr>
        <w:t xml:space="preserve"> and </w:t>
      </w:r>
      <w:r>
        <w:rPr>
          <w:rStyle w:val="Strong"/>
          <w:rFonts w:ascii="Calibri" w:hAnsi="Calibri" w:cs="Calibri"/>
          <w:color w:val="1E293B"/>
          <w:sz w:val="22"/>
          <w:szCs w:val="22"/>
        </w:rPr>
        <w:t>Flexbox</w:t>
      </w:r>
      <w:r>
        <w:rPr>
          <w:rFonts w:ascii="Calibri" w:hAnsi="Calibri" w:cs="Calibri"/>
          <w:color w:val="1E293B"/>
          <w:sz w:val="22"/>
          <w:szCs w:val="22"/>
        </w:rPr>
        <w:t>.</w:t>
      </w:r>
    </w:p>
    <w:p w14:paraId="7492335D" w14:textId="77777777" w:rsidR="0099284E" w:rsidRDefault="0099284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CSS Grid vs. Flexbox Strategy</w:t>
      </w:r>
    </w:p>
    <w:p w14:paraId="27C97CFC" w14:textId="77777777" w:rsidR="0099284E" w:rsidRDefault="0099284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CSS Grid (2D Macro Layouts):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Used where simultaneous row and column alignment is required, including </w:t>
      </w:r>
      <w:r>
        <w:rPr>
          <w:rStyle w:val="HTMLCode"/>
        </w:rPr>
        <w:t>.hero-grid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</w:t>
      </w:r>
      <w:r>
        <w:rPr>
          <w:rStyle w:val="HTMLCode"/>
        </w:rPr>
        <w:t>1.1fr 0.9fr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), </w:t>
      </w:r>
      <w:r>
        <w:rPr>
          <w:rStyle w:val="HTMLCode"/>
        </w:rPr>
        <w:t>.features-grid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</w:t>
      </w:r>
      <w:r>
        <w:rPr>
          <w:rStyle w:val="HTMLCode"/>
        </w:rPr>
        <w:t>repeat(3, 1fr)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), </w:t>
      </w:r>
      <w:r>
        <w:rPr>
          <w:rStyle w:val="HTMLCode"/>
        </w:rPr>
        <w:t>.workspace-layout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</w:t>
      </w:r>
      <w:r>
        <w:rPr>
          <w:rStyle w:val="HTMLCode"/>
        </w:rPr>
        <w:t>2fr 1fr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), </w:t>
      </w:r>
      <w:r>
        <w:rPr>
          <w:rStyle w:val="HTMLCode"/>
        </w:rPr>
        <w:t>.pricing-grid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, and </w:t>
      </w:r>
      <w:r>
        <w:rPr>
          <w:rStyle w:val="HTMLCode"/>
        </w:rPr>
        <w:t>.footer-grid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p w14:paraId="77CC8F4F" w14:textId="77777777" w:rsidR="0099284E" w:rsidRDefault="0099284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Flexbox (1D Component Alignment):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Used for linear distribution inside navigation bars (</w:t>
      </w:r>
      <w:r>
        <w:rPr>
          <w:rStyle w:val="HTMLCode"/>
        </w:rPr>
        <w:t>.header-container</w:t>
      </w:r>
      <w:r>
        <w:rPr>
          <w:rFonts w:ascii="Calibri" w:eastAsia="Times New Roman" w:hAnsi="Calibri" w:cs="Calibri"/>
          <w:color w:val="1E293B"/>
          <w:sz w:val="22"/>
          <w:szCs w:val="22"/>
        </w:rPr>
        <w:t>) and cards (</w:t>
      </w:r>
      <w:r>
        <w:rPr>
          <w:rStyle w:val="HTMLCode"/>
        </w:rPr>
        <w:t>.feature-card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, </w:t>
      </w:r>
      <w:r>
        <w:rPr>
          <w:rStyle w:val="HTMLCode"/>
        </w:rPr>
        <w:t>.pricing-card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). Applying </w:t>
      </w:r>
      <w:r>
        <w:rPr>
          <w:rStyle w:val="HTMLCode"/>
        </w:rPr>
        <w:t>flex-direction: column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on cards and </w:t>
      </w:r>
      <w:r>
        <w:rPr>
          <w:rStyle w:val="HTMLCode"/>
        </w:rPr>
        <w:t>flex: 1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</w:rPr>
        <w:t>on body content guarantees that bottom links and CTA buttons align along the exact same horizontal axis regardless of text length.</w:t>
      </w:r>
    </w:p>
    <w:p w14:paraId="7DA2B9A3" w14:textId="77777777" w:rsidR="0099284E" w:rsidRDefault="0099284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3.2 Color Scheme, Typography &amp; Spacing</w:t>
      </w:r>
    </w:p>
    <w:p w14:paraId="66B8B0CD" w14:textId="77777777" w:rsidR="0099284E" w:rsidRDefault="0099284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Color Palette: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Slate Ink (</w:t>
      </w:r>
      <w:r>
        <w:rPr>
          <w:rStyle w:val="HTMLCode"/>
        </w:rPr>
        <w:t>#0F172A</w:t>
      </w:r>
      <w:r>
        <w:rPr>
          <w:rFonts w:ascii="Calibri" w:eastAsia="Times New Roman" w:hAnsi="Calibri" w:cs="Calibri"/>
          <w:color w:val="1E293B"/>
          <w:sz w:val="22"/>
          <w:szCs w:val="22"/>
        </w:rPr>
        <w:t>) on a cool light canvas (</w:t>
      </w:r>
      <w:r>
        <w:rPr>
          <w:rStyle w:val="HTMLCode"/>
        </w:rPr>
        <w:t>#F8FAFC</w:t>
      </w:r>
      <w:r>
        <w:rPr>
          <w:rFonts w:ascii="Calibri" w:eastAsia="Times New Roman" w:hAnsi="Calibri" w:cs="Calibri"/>
          <w:color w:val="1E293B"/>
          <w:sz w:val="22"/>
          <w:szCs w:val="22"/>
        </w:rPr>
        <w:t>), paired with Primary Indigo (</w:t>
      </w:r>
      <w:r>
        <w:rPr>
          <w:rStyle w:val="HTMLCode"/>
        </w:rPr>
        <w:t>#4F46E5</w:t>
      </w:r>
      <w:r>
        <w:rPr>
          <w:rFonts w:ascii="Calibri" w:eastAsia="Times New Roman" w:hAnsi="Calibri" w:cs="Calibri"/>
          <w:color w:val="1E293B"/>
          <w:sz w:val="22"/>
          <w:szCs w:val="22"/>
        </w:rPr>
        <w:t>) and Accent Sky (</w:t>
      </w:r>
      <w:r>
        <w:rPr>
          <w:rStyle w:val="HTMLCode"/>
        </w:rPr>
        <w:t>#0EA5E9</w:t>
      </w:r>
      <w:r>
        <w:rPr>
          <w:rFonts w:ascii="Calibri" w:eastAsia="Times New Roman" w:hAnsi="Calibri" w:cs="Calibri"/>
          <w:color w:val="1E293B"/>
          <w:sz w:val="22"/>
          <w:szCs w:val="22"/>
        </w:rPr>
        <w:t>), exceeding WCAG AA contrast ratios.</w:t>
      </w:r>
    </w:p>
    <w:p w14:paraId="56639BC9" w14:textId="77777777" w:rsidR="0099284E" w:rsidRDefault="0099284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Fluid Typography: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Uses </w:t>
      </w:r>
      <w:r>
        <w:rPr>
          <w:rStyle w:val="HTMLCode"/>
        </w:rPr>
        <w:t>Plus Jakarta Sans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for headings and </w:t>
      </w:r>
      <w:r>
        <w:rPr>
          <w:rStyle w:val="HTMLCode"/>
        </w:rPr>
        <w:t>Inter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for body text, scaled smoothly across viewports via CSS </w:t>
      </w:r>
      <w:r>
        <w:rPr>
          <w:rStyle w:val="HTMLCode"/>
        </w:rPr>
        <w:t>clamp()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functions.</w:t>
      </w:r>
    </w:p>
    <w:p w14:paraId="465C5CC3" w14:textId="77777777" w:rsidR="0099284E" w:rsidRDefault="0099284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8pt Spatial System: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</w:rPr>
        <w:t>Standardized spacing variables (</w:t>
      </w:r>
      <w:r>
        <w:rPr>
          <w:rStyle w:val="HTMLCode"/>
        </w:rPr>
        <w:t>--space-1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to </w:t>
      </w:r>
      <w:r>
        <w:rPr>
          <w:rStyle w:val="HTMLCode"/>
        </w:rPr>
        <w:t>--space-12</w:t>
      </w:r>
      <w:r>
        <w:rPr>
          <w:rFonts w:ascii="Calibri" w:eastAsia="Times New Roman" w:hAnsi="Calibri" w:cs="Calibri"/>
          <w:color w:val="1E293B"/>
          <w:sz w:val="22"/>
          <w:szCs w:val="22"/>
        </w:rPr>
        <w:t>) maintain visual rhythm across all sections.</w:t>
      </w:r>
    </w:p>
    <w:p w14:paraId="605F9083" w14:textId="77777777" w:rsidR="0099284E" w:rsidRDefault="0099284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Responsiveness &amp; Media Queries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326"/>
        <w:gridCol w:w="5120"/>
      </w:tblGrid>
      <w:tr w:rsidR="00000000" w14:paraId="608AF6B9" w14:textId="77777777">
        <w:trPr>
          <w:tblHeader/>
        </w:trPr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37CC1A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Viewport Tier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9DEB77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Media Query Breakpoint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5F3541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Grid Reflow &amp; Navigation Adaptation</w:t>
            </w:r>
          </w:p>
        </w:tc>
      </w:tr>
      <w:tr w:rsidR="00000000" w14:paraId="7065E2C0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E27F7A4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E293B"/>
                <w:sz w:val="21"/>
                <w:szCs w:val="21"/>
              </w:rPr>
              <w:t>Desktop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E541FA6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&gt; 1024px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C4F11AD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1200px max container, 3-column grids, 4-column metrics, 2:1 workspace with sticky sidebar.</w:t>
            </w:r>
          </w:p>
        </w:tc>
      </w:tr>
      <w:tr w:rsidR="00000000" w14:paraId="5C9DEFFE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B8D5D7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E293B"/>
                <w:sz w:val="21"/>
                <w:szCs w:val="21"/>
              </w:rPr>
              <w:t>Tablet Landscape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0F056C6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@media (max-width: 1024px)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3DB036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Hero stacks vertically; 3-column grids reflow to 2 columns; sidebar becomes a 2-column row.</w:t>
            </w:r>
          </w:p>
        </w:tc>
      </w:tr>
      <w:tr w:rsidR="00000000" w14:paraId="29F2A7CE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20CBE16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E293B"/>
                <w:sz w:val="21"/>
                <w:szCs w:val="21"/>
              </w:rPr>
              <w:t>Tablet Portrait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DE53187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@media (max-width: 768px)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A9D239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Pure-CSS Hamburger Drawer activates; feature, pricing, and review grids stack in 1 column.</w:t>
            </w:r>
          </w:p>
        </w:tc>
      </w:tr>
      <w:tr w:rsidR="00000000" w14:paraId="66A36BC8" w14:textId="77777777"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1C4E2B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E293B"/>
                <w:sz w:val="21"/>
                <w:szCs w:val="21"/>
              </w:rPr>
              <w:t>Mobile Phone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1EFBAA3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Style w:val="HTMLCode"/>
              </w:rPr>
              <w:t>@media (max-width: 480px)</w:t>
            </w:r>
          </w:p>
        </w:tc>
        <w:tc>
          <w:tcPr>
            <w:tcW w:w="0" w:type="auto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D7D217" w14:textId="77777777" w:rsidR="0099284E" w:rsidRDefault="0099284E">
            <w:pPr>
              <w:spacing w:before="200" w:after="200"/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E293B"/>
                <w:sz w:val="21"/>
                <w:szCs w:val="21"/>
              </w:rPr>
              <w:t>Full-width touch buttons (44px+ targets), 1-column metrics, horizontally scrollable tables.</w:t>
            </w:r>
          </w:p>
        </w:tc>
      </w:tr>
    </w:tbl>
    <w:p w14:paraId="266AD709" w14:textId="77777777" w:rsidR="0099284E" w:rsidRDefault="0099284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Challenges Encountered &amp; Problem-Solving Solutions</w:t>
      </w:r>
    </w:p>
    <w:p w14:paraId="6BC84604" w14:textId="77777777" w:rsidR="0099284E" w:rsidRDefault="0099284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Challenge 1 — Equalizing Card Heights with Varying Text Lengths: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Solved by combining CSS Grid (</w:t>
      </w:r>
      <w:r>
        <w:rPr>
          <w:rStyle w:val="HTMLCode"/>
        </w:rPr>
        <w:t>align-items: stretch</w:t>
      </w:r>
      <w:r>
        <w:rPr>
          <w:rFonts w:ascii="Calibri" w:eastAsia="Times New Roman" w:hAnsi="Calibri" w:cs="Calibri"/>
          <w:color w:val="1E293B"/>
          <w:sz w:val="22"/>
          <w:szCs w:val="22"/>
        </w:rPr>
        <w:t>) on the grid container with Flexbox (</w:t>
      </w:r>
      <w:r>
        <w:rPr>
          <w:rStyle w:val="HTMLCode"/>
        </w:rPr>
        <w:t>display: flex; flex-direction: column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) on each card and </w:t>
      </w:r>
      <w:r>
        <w:rPr>
          <w:rStyle w:val="HTMLCode"/>
        </w:rPr>
        <w:t>flex: 1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</w:rPr>
        <w:t>on the description/feature-list element so all bottom buttons stay aligned.</w:t>
      </w:r>
    </w:p>
    <w:p w14:paraId="7D32E7CF" w14:textId="77777777" w:rsidR="0099284E" w:rsidRDefault="0099284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Challenge 2 — Zero-Dependency Responsive Navigation &amp; Wireframe Inspector: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Implemented a pure-CSS checkbox hack (</w:t>
      </w:r>
      <w:r>
        <w:rPr>
          <w:rStyle w:val="HTMLCode"/>
        </w:rPr>
        <w:t>.nav-toggle:checked ~ .site-nav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) for mobile navigation and a live </w:t>
      </w:r>
      <w:r>
        <w:rPr>
          <w:rStyle w:val="Emphasis"/>
          <w:rFonts w:ascii="Calibri" w:eastAsia="Times New Roman" w:hAnsi="Calibri" w:cs="Calibri"/>
          <w:color w:val="1E293B"/>
          <w:sz w:val="22"/>
          <w:szCs w:val="22"/>
        </w:rPr>
        <w:t>Wireframe Blueprint Mode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</w:t>
      </w:r>
      <w:r>
        <w:rPr>
          <w:rStyle w:val="HTMLCode"/>
        </w:rPr>
        <w:t>body:has(#wireframe-switch:checked)</w:t>
      </w:r>
      <w:r>
        <w:rPr>
          <w:rFonts w:ascii="Calibri" w:eastAsia="Times New Roman" w:hAnsi="Calibri" w:cs="Calibri"/>
          <w:color w:val="1E293B"/>
          <w:sz w:val="22"/>
          <w:szCs w:val="22"/>
        </w:rPr>
        <w:t>) that outlines every semantic HTML container without requiring external JavaScript libraries.</w:t>
      </w:r>
    </w:p>
    <w:p w14:paraId="24F3E0D2" w14:textId="77777777" w:rsidR="0099284E" w:rsidRDefault="0099284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E293B"/>
          <w:sz w:val="22"/>
          <w:szCs w:val="22"/>
        </w:rPr>
        <w:t>Challenge 3 — Preventing Horizontal Scroll on 320px Mobile Viewports: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Wrapped wide specification tables in </w:t>
      </w:r>
      <w:r>
        <w:rPr>
          <w:rStyle w:val="HTMLCode"/>
        </w:rPr>
        <w:t>overflow-x: auto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containers and collapsed nested hero mockup grids below </w:t>
      </w:r>
      <w:r>
        <w:rPr>
          <w:rStyle w:val="HTMLCode"/>
        </w:rPr>
        <w:t>480px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p w14:paraId="3B048C11" w14:textId="77777777" w:rsidR="0099284E" w:rsidRDefault="0099284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Running the Program on Localhost</w:t>
      </w:r>
    </w:p>
    <w:p w14:paraId="387E2F5C" w14:textId="77777777" w:rsidR="0099284E" w:rsidRDefault="0099284E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lastRenderedPageBreak/>
        <w:t>The project includes a zero-dependency Node.js HTTP server (</w:t>
      </w:r>
      <w:r>
        <w:rPr>
          <w:rStyle w:val="HTMLCode"/>
        </w:rPr>
        <w:t>server.js</w:t>
      </w:r>
      <w:r>
        <w:rPr>
          <w:rFonts w:ascii="Calibri" w:hAnsi="Calibri" w:cs="Calibri"/>
          <w:color w:val="1E293B"/>
          <w:sz w:val="22"/>
          <w:szCs w:val="22"/>
        </w:rPr>
        <w:t>) and a one-click batch launcher (</w:t>
      </w:r>
      <w:r>
        <w:rPr>
          <w:rStyle w:val="HTMLCode"/>
        </w:rPr>
        <w:t>run-localhost.bat</w:t>
      </w:r>
      <w:r>
        <w:rPr>
          <w:rFonts w:ascii="Calibri" w:hAnsi="Calibri" w:cs="Calibri"/>
          <w:color w:val="1E293B"/>
          <w:sz w:val="22"/>
          <w:szCs w:val="22"/>
        </w:rPr>
        <w:t xml:space="preserve">) serving the static web page at </w:t>
      </w:r>
      <w:r>
        <w:rPr>
          <w:rStyle w:val="HTMLCode"/>
          <w:b/>
          <w:bCs/>
        </w:rPr>
        <w:t>http://localhost:8000</w:t>
      </w:r>
      <w:r>
        <w:rPr>
          <w:rFonts w:ascii="Calibri" w:hAnsi="Calibri" w:cs="Calibri"/>
          <w:color w:val="1E293B"/>
          <w:sz w:val="22"/>
          <w:szCs w:val="22"/>
        </w:rPr>
        <w:t>.</w:t>
      </w:r>
    </w:p>
    <w:sectPr w:rsidR="00992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E6460"/>
    <w:multiLevelType w:val="multilevel"/>
    <w:tmpl w:val="1E6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50F28"/>
    <w:multiLevelType w:val="multilevel"/>
    <w:tmpl w:val="668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16881"/>
    <w:multiLevelType w:val="multilevel"/>
    <w:tmpl w:val="C32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55936"/>
    <w:multiLevelType w:val="multilevel"/>
    <w:tmpl w:val="02FE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318792">
    <w:abstractNumId w:val="3"/>
  </w:num>
  <w:num w:numId="2" w16cid:durableId="1717927608">
    <w:abstractNumId w:val="2"/>
  </w:num>
  <w:num w:numId="3" w16cid:durableId="323164402">
    <w:abstractNumId w:val="0"/>
  </w:num>
  <w:num w:numId="4" w16cid:durableId="150408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D0"/>
    <w:rsid w:val="000504D0"/>
    <w:rsid w:val="0099284E"/>
    <w:rsid w:val="00A5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F91DEF"/>
  <w15:chartTrackingRefBased/>
  <w15:docId w15:val="{29363E34-11CC-4253-BECA-9492A7FF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4F46E5"/>
      </w:pBdr>
      <w:spacing w:before="100" w:beforeAutospacing="1" w:after="240"/>
      <w:outlineLvl w:val="0"/>
    </w:pPr>
    <w:rPr>
      <w:b/>
      <w:bCs/>
      <w:color w:val="312E81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20"/>
      <w:outlineLvl w:val="1"/>
    </w:pPr>
    <w:rPr>
      <w:b/>
      <w:bCs/>
      <w:color w:val="4F46E5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80"/>
      <w:outlineLvl w:val="2"/>
    </w:pPr>
    <w:rPr>
      <w:b/>
      <w:bCs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4F46E5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896</Words>
  <Characters>5108</Characters>
  <Application>Microsoft Office Word</Application>
  <DocSecurity>4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- Wireframe to Static Web Page</dc:title>
  <dc:subject/>
  <dc:creator>Ankit kumar</dc:creator>
  <cp:keywords/>
  <dc:description/>
  <cp:lastModifiedBy>Ankit kumar</cp:lastModifiedBy>
  <cp:revision>2</cp:revision>
  <dcterms:created xsi:type="dcterms:W3CDTF">2026-10-03T18:54:00Z</dcterms:created>
  <dcterms:modified xsi:type="dcterms:W3CDTF">2026-10-03T18:54:00Z</dcterms:modified>
</cp:coreProperties>
</file>