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 Addressing and Subnetting Solutions</w:t>
      </w:r>
    </w:p>
    <w:p>
      <w:pPr>
        <w:pStyle w:val="Heading1"/>
      </w:pPr>
      <w:r>
        <w:t>255.255.255.224 to CIDR</w:t>
      </w:r>
    </w:p>
    <w:p>
      <w:r>
        <w:t>255.255.255.224 = 11111111.11111111.11111111.11100000. Number of 1 bits = 27, therefore CIDR = /27.</w:t>
      </w:r>
    </w:p>
    <w:p>
      <w:pPr>
        <w:pStyle w:val="Heading1"/>
      </w:pPr>
      <w:r>
        <w:t>/27 Usable Hosts</w:t>
      </w:r>
    </w:p>
    <w:p>
      <w:r>
        <w:t>Host bits = 32-27=5. Total addresses = 2^5=32. Usable hosts = 32-2 = 30.</w:t>
      </w:r>
    </w:p>
    <w:p>
      <w:pPr>
        <w:pStyle w:val="Heading1"/>
      </w:pPr>
      <w:r>
        <w:t>/26 Total IPv4 Addresses</w:t>
      </w:r>
    </w:p>
    <w:p>
      <w:r>
        <w:t>Host bits = 32-26=6. Total addresses = 2^6 = 64.</w:t>
      </w:r>
    </w:p>
    <w:p>
      <w:pPr>
        <w:pStyle w:val="Heading1"/>
      </w:pPr>
      <w:r>
        <w:t>Network of 192.168.10.65/26</w:t>
      </w:r>
    </w:p>
    <w:p>
      <w:r>
        <w:t>/26 block size = 64. Ranges: 0-63, 64-127, 128-191, 192-255. 65 falls in 64-127. Network = 192.168.10.64/26.</w:t>
      </w:r>
    </w:p>
    <w:p>
      <w:pPr>
        <w:pStyle w:val="Heading1"/>
      </w:pPr>
      <w:r>
        <w:t>Broadcast of 192.168.1.64/26</w:t>
      </w:r>
    </w:p>
    <w:p>
      <w:r>
        <w:t>Block size = 64. Subnet range = 64-127. Broadcast address = 192.168.1.127.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2026-10-06T17:26:47.0087888Z</dcterms:created>
  <dcterms:modified xsi:type="dcterms:W3CDTF">2026-10-06T17:26:47.0087888Z</dcterms:modified>
  <category/>
</coreProperties>
</file>