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871" w:rsidRDefault="00482E5B">
      <w:pPr>
        <w:rPr>
          <w:b/>
          <w:sz w:val="28"/>
          <w:szCs w:val="28"/>
        </w:rPr>
      </w:pPr>
      <w:r w:rsidRPr="00482E5B">
        <w:rPr>
          <w:b/>
          <w:sz w:val="28"/>
          <w:szCs w:val="28"/>
        </w:rPr>
        <w:t>CHAPTER 9      FUNDAMENTALS OF INFLUENCING AND COMMUNICATION</w:t>
      </w:r>
    </w:p>
    <w:p w:rsidR="00482E5B" w:rsidRDefault="00482E5B">
      <w:pPr>
        <w:rPr>
          <w:b/>
          <w:i/>
          <w:sz w:val="28"/>
          <w:szCs w:val="28"/>
          <w:u w:val="single"/>
        </w:rPr>
      </w:pPr>
      <w:r w:rsidRPr="00482E5B">
        <w:rPr>
          <w:b/>
          <w:i/>
          <w:sz w:val="28"/>
          <w:szCs w:val="28"/>
          <w:u w:val="single"/>
        </w:rPr>
        <w:t>Brief Answer Questions</w:t>
      </w:r>
    </w:p>
    <w:p w:rsidR="00482E5B" w:rsidRDefault="00482E5B" w:rsidP="00482E5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Give the concept of wheel and all channel network of communication.</w:t>
      </w:r>
    </w:p>
    <w:p w:rsidR="00482E5B" w:rsidRDefault="00482E5B" w:rsidP="00482E5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can semantic barrier of communication be solved?</w:t>
      </w:r>
    </w:p>
    <w:p w:rsidR="00482E5B" w:rsidRDefault="00482E5B" w:rsidP="00482E5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Present a diagrammatic process of communication.</w:t>
      </w:r>
    </w:p>
    <w:p w:rsidR="00482E5B" w:rsidRDefault="00482E5B" w:rsidP="00482E5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Mention any four characteristics of communication.</w:t>
      </w:r>
    </w:p>
    <w:p w:rsidR="00482E5B" w:rsidRDefault="00482E5B" w:rsidP="00482E5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active listening?</w:t>
      </w:r>
    </w:p>
    <w:p w:rsidR="00482E5B" w:rsidRDefault="00482E5B" w:rsidP="00482E5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Define influencing.</w:t>
      </w:r>
    </w:p>
    <w:p w:rsidR="00482E5B" w:rsidRDefault="00482E5B" w:rsidP="00482E5B">
      <w:pPr>
        <w:pStyle w:val="ListParagraph"/>
        <w:rPr>
          <w:b/>
          <w:sz w:val="28"/>
          <w:szCs w:val="28"/>
        </w:rPr>
      </w:pPr>
    </w:p>
    <w:p w:rsidR="00482E5B" w:rsidRDefault="00482E5B" w:rsidP="00482E5B">
      <w:pPr>
        <w:rPr>
          <w:b/>
          <w:i/>
          <w:sz w:val="28"/>
          <w:szCs w:val="28"/>
          <w:u w:val="single"/>
        </w:rPr>
      </w:pPr>
      <w:r w:rsidRPr="00482E5B">
        <w:rPr>
          <w:b/>
          <w:i/>
          <w:sz w:val="28"/>
          <w:szCs w:val="28"/>
          <w:u w:val="single"/>
        </w:rPr>
        <w:t>Descriptive Answer Questions</w:t>
      </w:r>
    </w:p>
    <w:p w:rsidR="00482E5B" w:rsidRDefault="00482E5B" w:rsidP="00482E5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Why communication is considered as lifeblood of organization? Describe the types of communication.</w:t>
      </w:r>
    </w:p>
    <w:p w:rsidR="00482E5B" w:rsidRDefault="00482E5B" w:rsidP="00482E5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obstruct communication from being effective? What can be done to make communication effective?</w:t>
      </w:r>
    </w:p>
    <w:p w:rsidR="00482E5B" w:rsidRPr="00482E5B" w:rsidRDefault="00482E5B" w:rsidP="00482E5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Describe influencing sub-</w:t>
      </w:r>
      <w:bookmarkStart w:id="0" w:name="_GoBack"/>
      <w:bookmarkEnd w:id="0"/>
      <w:r>
        <w:rPr>
          <w:b/>
          <w:sz w:val="28"/>
          <w:szCs w:val="28"/>
        </w:rPr>
        <w:t>system.</w:t>
      </w:r>
    </w:p>
    <w:sectPr w:rsidR="00482E5B" w:rsidRPr="00482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0A95"/>
    <w:multiLevelType w:val="hybridMultilevel"/>
    <w:tmpl w:val="5E3EC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534"/>
    <w:multiLevelType w:val="hybridMultilevel"/>
    <w:tmpl w:val="94A02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5B"/>
    <w:rsid w:val="003A11C2"/>
    <w:rsid w:val="00482E5B"/>
    <w:rsid w:val="00F3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6A83"/>
  <w15:chartTrackingRefBased/>
  <w15:docId w15:val="{3C606894-A290-4767-B75C-ED3A353D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1</cp:revision>
  <dcterms:created xsi:type="dcterms:W3CDTF">2021-01-11T07:16:00Z</dcterms:created>
  <dcterms:modified xsi:type="dcterms:W3CDTF">2021-01-11T07:27:00Z</dcterms:modified>
</cp:coreProperties>
</file>