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jc w:val="center"/>
      </w:pPr>
      <w:r>
        <w:rPr>
          <w:b/>
          <w:bCs/>
          <w:color w:val="1F3864"/>
          <w:sz w:val="52"/>
          <w:szCs w:val="52"/>
        </w:rPr>
        <w:t xml:space="preserve">Walmart Sales Analysis</w:t>
      </w:r>
    </w:p>
    <w:p>
      <w:pPr>
        <w:spacing w:after="120"/>
        <w:jc w:val="center"/>
      </w:pPr>
      <w:r>
        <w:rPr>
          <w:color w:val="2E75B6"/>
          <w:sz w:val="30"/>
          <w:szCs w:val="30"/>
        </w:rPr>
        <w:t xml:space="preserve">&amp; 12-Week Forecasting with ARIMA / SARIMA</w:t>
      </w:r>
    </w:p>
    <w:p>
      <w:pPr>
        <w:spacing w:after="80"/>
        <w:jc w:val="center"/>
      </w:pPr>
      <w:r>
        <w:rPr>
          <w:i/>
          <w:iCs/>
          <w:color w:val="595959"/>
          <w:sz w:val="20"/>
          <w:szCs w:val="20"/>
        </w:rPr>
        <w:t xml:space="preserve">Data Science Capstone Project · Intellipaat · Problem Statement 1</w:t>
      </w:r>
    </w:p>
    <w:p>
      <w:pPr>
        <w:spacing w:after="50" w:before="70"/>
        <w:jc w:val="center"/>
      </w:pPr>
      <w:r>
        <w:drawing>
          <wp:inline distT="0" distB="0" distL="0" distR="0">
            <wp:extent cx="4953000" cy="1857375"/>
            <wp:effectExtent t="0" r="0" b="0" l="0"/>
            <wp:docPr id="1" name="fig5_total_sales.png" descr="fig5_total_sales.png" title="fig5_total_sa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1857375"/>
                    </a:xfrm>
                    <a:prstGeom prst="rect">
                      <a:avLst/>
                    </a:prstGeom>
                  </pic:spPr>
                </pic:pic>
              </a:graphicData>
            </a:graphic>
          </wp:inline>
        </w:drawing>
      </w:r>
    </w:p>
    <w:p>
      <w:pPr>
        <w:spacing w:after="40" w:before="500"/>
        <w:jc w:val="center"/>
      </w:pPr>
      <w:r>
        <w:rPr>
          <w:b/>
          <w:bCs/>
          <w:sz w:val="24"/>
          <w:szCs w:val="24"/>
        </w:rPr>
        <w:t xml:space="preserve">Prepared by: Ankit Saxena</w:t>
      </w:r>
    </w:p>
    <w:p>
      <w:pPr>
        <w:spacing w:after="40"/>
        <w:jc w:val="center"/>
      </w:pPr>
      <w:r>
        <w:rPr>
          <w:color w:val="595959"/>
          <w:sz w:val="20"/>
          <w:szCs w:val="20"/>
        </w:rPr>
        <w:t xml:space="preserve">Dataset: 45 stores · 143 weeks · Feb 2010 – Oct 2012</w:t>
      </w:r>
    </w:p>
    <w:p>
      <w:pPr>
        <w:jc w:val="center"/>
      </w:pPr>
      <w:r>
        <w:rPr>
          <w:color w:val="595959"/>
          <w:sz w:val="20"/>
          <w:szCs w:val="20"/>
        </w:rPr>
        <w:t xml:space="preserve">June 2026  ·  Revised resubmission</w:t>
      </w:r>
    </w:p>
    <w:p>
      <w:pPr>
        <w:pStyle w:val="Heading1"/>
        <w:pageBreakBefore/>
        <w:spacing w:after="150"/>
      </w:pPr>
      <w:r>
        <w:t xml:space="preserve">Contents</w:t>
      </w:r>
    </w:p>
    <w:p>
      <w:pPr>
        <w:tabs>
          <w:tab w:val="right" w:pos="9360" w:leader="dot"/>
        </w:tabs>
        <w:spacing w:after="70"/>
      </w:pPr>
      <w:r>
        <w:rPr>
          <w:b/>
          <w:bCs/>
          <w:color w:val="1F3864"/>
          <w:sz w:val="20"/>
          <w:szCs w:val="20"/>
        </w:rPr>
        <w:t xml:space="preserve">1. Introduction &amp; Problem Statement</w:t>
      </w:r>
      <w:r>
        <w:rPr>
          <w:color w:val="1F3864"/>
          <w:sz w:val="19"/>
          <w:szCs w:val="19"/>
        </w:rPr>
        <w:t xml:space="preserve">	3</w:t>
      </w:r>
    </w:p>
    <w:p>
      <w:pPr>
        <w:tabs>
          <w:tab w:val="right" w:pos="9360" w:leader="dot"/>
        </w:tabs>
        <w:spacing w:after="70"/>
      </w:pPr>
      <w:r>
        <w:rPr>
          <w:b/>
          <w:bCs/>
          <w:color w:val="1F3864"/>
          <w:sz w:val="20"/>
          <w:szCs w:val="20"/>
        </w:rPr>
        <w:t xml:space="preserve">2. Dataset Overview</w:t>
      </w:r>
      <w:r>
        <w:rPr>
          <w:color w:val="1F3864"/>
          <w:sz w:val="19"/>
          <w:szCs w:val="19"/>
        </w:rPr>
        <w:t xml:space="preserve">	4</w:t>
      </w:r>
    </w:p>
    <w:p>
      <w:pPr>
        <w:tabs>
          <w:tab w:val="right" w:pos="9360" w:leader="dot"/>
        </w:tabs>
        <w:spacing w:after="70"/>
      </w:pPr>
      <w:r>
        <w:rPr>
          <w:b/>
          <w:bCs/>
          <w:color w:val="1F3864"/>
          <w:sz w:val="20"/>
          <w:szCs w:val="20"/>
        </w:rPr>
        <w:t xml:space="preserve">3. Data Cleaning &amp; Missing-Value Treatment</w:t>
      </w:r>
      <w:r>
        <w:rPr>
          <w:color w:val="1F3864"/>
          <w:sz w:val="19"/>
          <w:szCs w:val="19"/>
        </w:rPr>
        <w:t xml:space="preserve">	5</w:t>
      </w:r>
    </w:p>
    <w:p>
      <w:pPr>
        <w:tabs>
          <w:tab w:val="right" w:pos="9360" w:leader="dot"/>
        </w:tabs>
        <w:spacing w:after="70"/>
      </w:pPr>
      <w:r>
        <w:rPr>
          <w:b/>
          <w:bCs/>
          <w:color w:val="1F3864"/>
          <w:sz w:val="20"/>
          <w:szCs w:val="20"/>
        </w:rPr>
        <w:t xml:space="preserve">4. Exploratory Data Analysis</w:t>
      </w:r>
      <w:r>
        <w:rPr>
          <w:color w:val="1F3864"/>
          <w:sz w:val="19"/>
          <w:szCs w:val="19"/>
        </w:rPr>
        <w:t xml:space="preserve">	6</w:t>
      </w:r>
    </w:p>
    <w:p>
      <w:pPr>
        <w:tabs>
          <w:tab w:val="right" w:pos="9360" w:leader="dot"/>
        </w:tabs>
        <w:spacing w:after="70"/>
      </w:pPr>
      <w:r>
        <w:rPr>
          <w:b/>
          <w:bCs/>
          <w:color w:val="1F3864"/>
          <w:sz w:val="20"/>
          <w:szCs w:val="20"/>
        </w:rPr>
        <w:t xml:space="preserve">5. Outlier Analysis</w:t>
      </w:r>
      <w:r>
        <w:rPr>
          <w:color w:val="1F3864"/>
          <w:sz w:val="19"/>
          <w:szCs w:val="19"/>
        </w:rPr>
        <w:t xml:space="preserve">	8</w:t>
      </w:r>
    </w:p>
    <w:p>
      <w:pPr>
        <w:tabs>
          <w:tab w:val="right" w:pos="9360" w:leader="dot"/>
        </w:tabs>
        <w:spacing w:after="70"/>
      </w:pPr>
      <w:r>
        <w:rPr>
          <w:b/>
          <w:bCs/>
          <w:color w:val="1F3864"/>
          <w:sz w:val="20"/>
          <w:szCs w:val="20"/>
        </w:rPr>
        <w:t xml:space="preserve">6. Business Insights</w:t>
      </w:r>
      <w:r>
        <w:rPr>
          <w:color w:val="1F3864"/>
          <w:sz w:val="19"/>
          <w:szCs w:val="19"/>
        </w:rPr>
        <w:t xml:space="preserve">	9</w:t>
      </w:r>
    </w:p>
    <w:p>
      <w:pPr>
        <w:tabs>
          <w:tab w:val="right" w:pos="9360" w:leader="dot"/>
        </w:tabs>
        <w:spacing w:after="70"/>
      </w:pPr>
      <w:r>
        <w:rPr>
          <w:b/>
          <w:bCs/>
          <w:color w:val="1F3864"/>
          <w:sz w:val="20"/>
          <w:szCs w:val="20"/>
        </w:rPr>
        <w:t xml:space="preserve">7. Predictive Modelling — Store Segregation &amp; ARIMA / SARIMA</w:t>
      </w:r>
      <w:r>
        <w:rPr>
          <w:color w:val="1F3864"/>
          <w:sz w:val="19"/>
          <w:szCs w:val="19"/>
        </w:rPr>
        <w:t xml:space="preserve">	12</w:t>
      </w:r>
    </w:p>
    <w:p>
      <w:pPr>
        <w:tabs>
          <w:tab w:val="right" w:pos="9360" w:leader="dot"/>
        </w:tabs>
        <w:spacing w:after="70"/>
      </w:pPr>
      <w:r>
        <w:rPr>
          <w:b/>
          <w:bCs/>
          <w:color w:val="1F3864"/>
          <w:sz w:val="20"/>
          <w:szCs w:val="20"/>
        </w:rPr>
        <w:t xml:space="preserve">8. Conclusions &amp; Recommendations</w:t>
      </w:r>
      <w:r>
        <w:rPr>
          <w:color w:val="1F3864"/>
          <w:sz w:val="19"/>
          <w:szCs w:val="19"/>
        </w:rPr>
        <w:t xml:space="preserve">	17</w:t>
      </w:r>
    </w:p>
    <w:p>
      <w:pPr>
        <w:pStyle w:val="Heading1"/>
        <w:pageBreakBefore/>
        <w:spacing w:after="150" w:before="240"/>
      </w:pPr>
      <w:r>
        <w:t xml:space="preserve">1. Introduction &amp; Problem Statement</w:t>
      </w:r>
    </w:p>
    <w:p>
      <w:pPr>
        <w:spacing w:after="120" w:line="276"/>
        <w:jc w:val="both"/>
      </w:pPr>
      <w:r>
        <w:t xml:space="preserve">A retail chain operating multiple outlets across the country is struggling to manage inventory — specifically, to match supply with demand. The objective of this project is to analyse three years of historical weekly sales data, convert it into actionable insight, then build models that forecast demand for each store over the coming weeks so inventory can be planned ahead.</w:t>
      </w:r>
    </w:p>
    <w:p>
      <w:pPr>
        <w:spacing w:after="120" w:line="276"/>
        <w:jc w:val="both"/>
      </w:pPr>
      <w:r>
        <w:t xml:space="preserve">The work is delivered in two parts, as set out in the capstone brief:</w:t>
      </w:r>
    </w:p>
    <w:p>
      <w:pPr>
        <w:pStyle w:val="ListParagraph"/>
        <w:numPr>
          <w:ilvl w:val="0"/>
          <w:numId w:val="2"/>
        </w:numPr>
        <w:spacing w:after="70" w:line="264"/>
      </w:pPr>
      <w:r>
        <w:rPr>
          <w:b/>
          <w:bCs/>
        </w:rPr>
        <w:t xml:space="preserve">Part 1 — Analysis &amp; Insights: </w:t>
      </w:r>
      <w:r>
        <w:t xml:space="preserve">statistical analysis, EDA, outlier analysis and missing-value handling to answer six business questions on the effect of unemployment, seasonality, temperature and CPI, and to identify the best- and worst-performing stores.</w:t>
      </w:r>
    </w:p>
    <w:p>
      <w:pPr>
        <w:pStyle w:val="ListParagraph"/>
        <w:numPr>
          <w:ilvl w:val="0"/>
          <w:numId w:val="2"/>
        </w:numPr>
        <w:spacing w:after="70" w:line="264"/>
      </w:pPr>
      <w:r>
        <w:rPr>
          <w:b/>
          <w:bCs/>
        </w:rPr>
        <w:t xml:space="preserve">Part 2 — Predictive Modelling: </w:t>
      </w:r>
      <w:r>
        <w:t xml:space="preserve">segregate the data by store and forecast weekly sales for each of the 45 stores for the next 12 weeks using time-series models (ARIMA / SARIMA).</w:t>
      </w:r>
    </w:p>
    <w:p>
      <w:pPr>
        <w:spacing w:after="120" w:line="276"/>
        <w:jc w:val="both"/>
      </w:pPr>
      <w:r>
        <w:rPr>
          <w:b/>
          <w:bCs/>
          <w:color w:val="2E75B6"/>
        </w:rPr>
        <w:t xml:space="preserve">Revision note. </w:t>
      </w:r>
      <w:r>
        <w:t xml:space="preserve">This version revises Part 2 per reviewer feedback: the stores are explicitly segregated and forecast with seasonal time-series models (SARIMA), demonstrated in depth on five representative stores and then applied to all 45.</w:t>
      </w:r>
    </w:p>
    <w:p>
      <w:pPr>
        <w:pStyle w:val="Heading1"/>
        <w:pageBreakBefore/>
        <w:spacing w:after="150" w:before="240"/>
      </w:pPr>
      <w:r>
        <w:t xml:space="preserve">2. Dataset Overview</w:t>
      </w:r>
    </w:p>
    <w:p>
      <w:pPr>
        <w:spacing w:after="120" w:line="276"/>
        <w:jc w:val="both"/>
      </w:pPr>
      <w:r>
        <w:t xml:space="preserve">The dataset (walmart.csv) contains 6,435 rows and 8 columns — one record per store per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1F3864" w:val="clear"/>
            <w:tcMar>
              <w:top w:type="dxa" w:w="55"/>
              <w:left w:type="dxa" w:w="100"/>
              <w:bottom w:type="dxa" w:w="55"/>
              <w:right w:type="dxa" w:w="100"/>
            </w:tcMar>
          </w:tcPr>
          <w:p>
            <w:pPr>
              <w:jc w:val="left"/>
            </w:pPr>
            <w:r>
              <w:rPr>
                <w:b/>
                <w:bCs/>
                <w:color w:val="FFFFFF"/>
                <w:sz w:val="18"/>
                <w:szCs w:val="18"/>
              </w:rPr>
              <w:t xml:space="preserve">Feature</w:t>
            </w:r>
          </w:p>
        </w:tc>
        <w:tc>
          <w:tcPr>
            <w:tcW w:type="dxa" w:w="6760"/>
            <w:tcBorders>
              <w:top w:val="single" w:color="BFBFBF" w:sz="1"/>
              <w:left w:val="single" w:color="BFBFBF" w:sz="1"/>
              <w:bottom w:val="single" w:color="BFBFBF" w:sz="1"/>
              <w:right w:val="single" w:color="BFBFBF" w:sz="1"/>
            </w:tcBorders>
            <w:shd w:fill="1F3864" w:val="clear"/>
            <w:tcMar>
              <w:top w:type="dxa" w:w="55"/>
              <w:left w:type="dxa" w:w="100"/>
              <w:bottom w:type="dxa" w:w="55"/>
              <w:right w:type="dxa" w:w="100"/>
            </w:tcMar>
          </w:tcPr>
          <w:p>
            <w:pPr>
              <w:jc w:val="center"/>
            </w:pPr>
            <w:r>
              <w:rPr>
                <w:b/>
                <w:bCs/>
                <w:color w:val="FFFFFF"/>
                <w:sz w:val="18"/>
                <w:szCs w:val="18"/>
              </w:rPr>
              <w:t xml:space="preserve">Description</w:t>
            </w:r>
          </w:p>
        </w:tc>
      </w:tr>
      <w:tr>
        <w:tc>
          <w:tcPr>
            <w:tcW w:type="dxa" w:w="2600"/>
            <w:tcBorders>
              <w:top w:val="single" w:color="BFBFBF" w:sz="1"/>
              <w:left w:val="single" w:color="BFBFBF" w:sz="1"/>
              <w:bottom w:val="single" w:color="BFBFBF" w:sz="1"/>
              <w:right w:val="single" w:color="BFBFBF" w:sz="1"/>
            </w:tcBorders>
            <w:shd w:fill="FFFFFF" w:val="clear"/>
            <w:tcMar>
              <w:top w:type="dxa" w:w="45"/>
              <w:left w:type="dxa" w:w="100"/>
              <w:bottom w:type="dxa" w:w="45"/>
              <w:right w:type="dxa" w:w="100"/>
            </w:tcMar>
            <w:vAlign w:val="center"/>
          </w:tcPr>
          <w:p>
            <w:pPr>
              <w:jc w:val="left"/>
            </w:pPr>
            <w:r>
              <w:rPr>
                <w:b/>
                <w:bCs/>
                <w:sz w:val="17"/>
                <w:szCs w:val="17"/>
              </w:rPr>
              <w:t xml:space="preserve">Store</w:t>
            </w:r>
          </w:p>
        </w:tc>
        <w:tc>
          <w:tcPr>
            <w:tcW w:type="dxa" w:w="6760"/>
            <w:tcBorders>
              <w:top w:val="single" w:color="BFBFBF" w:sz="1"/>
              <w:left w:val="single" w:color="BFBFBF" w:sz="1"/>
              <w:bottom w:val="single" w:color="BFBFBF" w:sz="1"/>
              <w:right w:val="single" w:color="BFBFBF" w:sz="1"/>
            </w:tcBorders>
            <w:shd w:fill="FFFFFF" w:val="clear"/>
            <w:tcMar>
              <w:top w:type="dxa" w:w="45"/>
              <w:left w:type="dxa" w:w="100"/>
              <w:bottom w:type="dxa" w:w="45"/>
              <w:right w:type="dxa" w:w="100"/>
            </w:tcMar>
            <w:vAlign w:val="center"/>
          </w:tcPr>
          <w:p>
            <w:pPr>
              <w:jc w:val="center"/>
            </w:pPr>
            <w:r>
              <w:rPr>
                <w:b w:val="false"/>
                <w:bCs w:val="false"/>
                <w:sz w:val="17"/>
                <w:szCs w:val="17"/>
              </w:rPr>
              <w:t xml:space="preserve">Store number (1–45)</w:t>
            </w:r>
          </w:p>
        </w:tc>
      </w:tr>
      <w:tr>
        <w:tc>
          <w:tcPr>
            <w:tcW w:type="dxa" w:w="2600"/>
            <w:tcBorders>
              <w:top w:val="single" w:color="BFBFBF" w:sz="1"/>
              <w:left w:val="single" w:color="BFBFBF" w:sz="1"/>
              <w:bottom w:val="single" w:color="BFBFBF" w:sz="1"/>
              <w:right w:val="single" w:color="BFBFBF" w:sz="1"/>
            </w:tcBorders>
            <w:shd w:fill="EEF3FB" w:val="clear"/>
            <w:tcMar>
              <w:top w:type="dxa" w:w="45"/>
              <w:left w:type="dxa" w:w="100"/>
              <w:bottom w:type="dxa" w:w="45"/>
              <w:right w:type="dxa" w:w="100"/>
            </w:tcMar>
            <w:vAlign w:val="center"/>
          </w:tcPr>
          <w:p>
            <w:pPr>
              <w:jc w:val="left"/>
            </w:pPr>
            <w:r>
              <w:rPr>
                <w:b/>
                <w:bCs/>
                <w:sz w:val="17"/>
                <w:szCs w:val="17"/>
              </w:rPr>
              <w:t xml:space="preserve">Date</w:t>
            </w:r>
          </w:p>
        </w:tc>
        <w:tc>
          <w:tcPr>
            <w:tcW w:type="dxa" w:w="6760"/>
            <w:tcBorders>
              <w:top w:val="single" w:color="BFBFBF" w:sz="1"/>
              <w:left w:val="single" w:color="BFBFBF" w:sz="1"/>
              <w:bottom w:val="single" w:color="BFBFBF" w:sz="1"/>
              <w:right w:val="single" w:color="BFBFBF" w:sz="1"/>
            </w:tcBorders>
            <w:shd w:fill="EEF3FB" w:val="clear"/>
            <w:tcMar>
              <w:top w:type="dxa" w:w="45"/>
              <w:left w:type="dxa" w:w="100"/>
              <w:bottom w:type="dxa" w:w="45"/>
              <w:right w:type="dxa" w:w="100"/>
            </w:tcMar>
            <w:vAlign w:val="center"/>
          </w:tcPr>
          <w:p>
            <w:pPr>
              <w:jc w:val="center"/>
            </w:pPr>
            <w:r>
              <w:rPr>
                <w:b w:val="false"/>
                <w:bCs w:val="false"/>
                <w:sz w:val="17"/>
                <w:szCs w:val="17"/>
              </w:rPr>
              <w:t xml:space="preserve">Week of sales (weekly, ending Friday)</w:t>
            </w:r>
          </w:p>
        </w:tc>
      </w:tr>
      <w:tr>
        <w:tc>
          <w:tcPr>
            <w:tcW w:type="dxa" w:w="2600"/>
            <w:tcBorders>
              <w:top w:val="single" w:color="BFBFBF" w:sz="1"/>
              <w:left w:val="single" w:color="BFBFBF" w:sz="1"/>
              <w:bottom w:val="single" w:color="BFBFBF" w:sz="1"/>
              <w:right w:val="single" w:color="BFBFBF" w:sz="1"/>
            </w:tcBorders>
            <w:shd w:fill="FFFFFF" w:val="clear"/>
            <w:tcMar>
              <w:top w:type="dxa" w:w="45"/>
              <w:left w:type="dxa" w:w="100"/>
              <w:bottom w:type="dxa" w:w="45"/>
              <w:right w:type="dxa" w:w="100"/>
            </w:tcMar>
            <w:vAlign w:val="center"/>
          </w:tcPr>
          <w:p>
            <w:pPr>
              <w:jc w:val="left"/>
            </w:pPr>
            <w:r>
              <w:rPr>
                <w:b/>
                <w:bCs/>
                <w:sz w:val="17"/>
                <w:szCs w:val="17"/>
              </w:rPr>
              <w:t xml:space="preserve">Weekly_Sales</w:t>
            </w:r>
          </w:p>
        </w:tc>
        <w:tc>
          <w:tcPr>
            <w:tcW w:type="dxa" w:w="6760"/>
            <w:tcBorders>
              <w:top w:val="single" w:color="BFBFBF" w:sz="1"/>
              <w:left w:val="single" w:color="BFBFBF" w:sz="1"/>
              <w:bottom w:val="single" w:color="BFBFBF" w:sz="1"/>
              <w:right w:val="single" w:color="BFBFBF" w:sz="1"/>
            </w:tcBorders>
            <w:shd w:fill="FFFFFF" w:val="clear"/>
            <w:tcMar>
              <w:top w:type="dxa" w:w="45"/>
              <w:left w:type="dxa" w:w="100"/>
              <w:bottom w:type="dxa" w:w="45"/>
              <w:right w:type="dxa" w:w="100"/>
            </w:tcMar>
            <w:vAlign w:val="center"/>
          </w:tcPr>
          <w:p>
            <w:pPr>
              <w:jc w:val="center"/>
            </w:pPr>
            <w:r>
              <w:rPr>
                <w:b w:val="false"/>
                <w:bCs w:val="false"/>
                <w:sz w:val="17"/>
                <w:szCs w:val="17"/>
              </w:rPr>
              <w:t xml:space="preserve">Sales for the given store that week (USD)</w:t>
            </w:r>
          </w:p>
        </w:tc>
      </w:tr>
      <w:tr>
        <w:tc>
          <w:tcPr>
            <w:tcW w:type="dxa" w:w="2600"/>
            <w:tcBorders>
              <w:top w:val="single" w:color="BFBFBF" w:sz="1"/>
              <w:left w:val="single" w:color="BFBFBF" w:sz="1"/>
              <w:bottom w:val="single" w:color="BFBFBF" w:sz="1"/>
              <w:right w:val="single" w:color="BFBFBF" w:sz="1"/>
            </w:tcBorders>
            <w:shd w:fill="EEF3FB" w:val="clear"/>
            <w:tcMar>
              <w:top w:type="dxa" w:w="45"/>
              <w:left w:type="dxa" w:w="100"/>
              <w:bottom w:type="dxa" w:w="45"/>
              <w:right w:type="dxa" w:w="100"/>
            </w:tcMar>
            <w:vAlign w:val="center"/>
          </w:tcPr>
          <w:p>
            <w:pPr>
              <w:jc w:val="left"/>
            </w:pPr>
            <w:r>
              <w:rPr>
                <w:b/>
                <w:bCs/>
                <w:sz w:val="17"/>
                <w:szCs w:val="17"/>
              </w:rPr>
              <w:t xml:space="preserve">Holiday_Flag</w:t>
            </w:r>
          </w:p>
        </w:tc>
        <w:tc>
          <w:tcPr>
            <w:tcW w:type="dxa" w:w="6760"/>
            <w:tcBorders>
              <w:top w:val="single" w:color="BFBFBF" w:sz="1"/>
              <w:left w:val="single" w:color="BFBFBF" w:sz="1"/>
              <w:bottom w:val="single" w:color="BFBFBF" w:sz="1"/>
              <w:right w:val="single" w:color="BFBFBF" w:sz="1"/>
            </w:tcBorders>
            <w:shd w:fill="EEF3FB" w:val="clear"/>
            <w:tcMar>
              <w:top w:type="dxa" w:w="45"/>
              <w:left w:type="dxa" w:w="100"/>
              <w:bottom w:type="dxa" w:w="45"/>
              <w:right w:type="dxa" w:w="100"/>
            </w:tcMar>
            <w:vAlign w:val="center"/>
          </w:tcPr>
          <w:p>
            <w:pPr>
              <w:jc w:val="center"/>
            </w:pPr>
            <w:r>
              <w:rPr>
                <w:b w:val="false"/>
                <w:bCs w:val="false"/>
                <w:sz w:val="17"/>
                <w:szCs w:val="17"/>
              </w:rPr>
              <w:t xml:space="preserve">1 if the week contains a major holiday, else 0</w:t>
            </w:r>
          </w:p>
        </w:tc>
      </w:tr>
      <w:tr>
        <w:tc>
          <w:tcPr>
            <w:tcW w:type="dxa" w:w="2600"/>
            <w:tcBorders>
              <w:top w:val="single" w:color="BFBFBF" w:sz="1"/>
              <w:left w:val="single" w:color="BFBFBF" w:sz="1"/>
              <w:bottom w:val="single" w:color="BFBFBF" w:sz="1"/>
              <w:right w:val="single" w:color="BFBFBF" w:sz="1"/>
            </w:tcBorders>
            <w:shd w:fill="FFFFFF" w:val="clear"/>
            <w:tcMar>
              <w:top w:type="dxa" w:w="45"/>
              <w:left w:type="dxa" w:w="100"/>
              <w:bottom w:type="dxa" w:w="45"/>
              <w:right w:type="dxa" w:w="100"/>
            </w:tcMar>
            <w:vAlign w:val="center"/>
          </w:tcPr>
          <w:p>
            <w:pPr>
              <w:jc w:val="left"/>
            </w:pPr>
            <w:r>
              <w:rPr>
                <w:b/>
                <w:bCs/>
                <w:sz w:val="17"/>
                <w:szCs w:val="17"/>
              </w:rPr>
              <w:t xml:space="preserve">Temperature</w:t>
            </w:r>
          </w:p>
        </w:tc>
        <w:tc>
          <w:tcPr>
            <w:tcW w:type="dxa" w:w="6760"/>
            <w:tcBorders>
              <w:top w:val="single" w:color="BFBFBF" w:sz="1"/>
              <w:left w:val="single" w:color="BFBFBF" w:sz="1"/>
              <w:bottom w:val="single" w:color="BFBFBF" w:sz="1"/>
              <w:right w:val="single" w:color="BFBFBF" w:sz="1"/>
            </w:tcBorders>
            <w:shd w:fill="FFFFFF" w:val="clear"/>
            <w:tcMar>
              <w:top w:type="dxa" w:w="45"/>
              <w:left w:type="dxa" w:w="100"/>
              <w:bottom w:type="dxa" w:w="45"/>
              <w:right w:type="dxa" w:w="100"/>
            </w:tcMar>
            <w:vAlign w:val="center"/>
          </w:tcPr>
          <w:p>
            <w:pPr>
              <w:jc w:val="center"/>
            </w:pPr>
            <w:r>
              <w:rPr>
                <w:b w:val="false"/>
                <w:bCs w:val="false"/>
                <w:sz w:val="17"/>
                <w:szCs w:val="17"/>
              </w:rPr>
              <w:t xml:space="preserve">Average temperature in the region (°F)</w:t>
            </w:r>
          </w:p>
        </w:tc>
      </w:tr>
      <w:tr>
        <w:tc>
          <w:tcPr>
            <w:tcW w:type="dxa" w:w="2600"/>
            <w:tcBorders>
              <w:top w:val="single" w:color="BFBFBF" w:sz="1"/>
              <w:left w:val="single" w:color="BFBFBF" w:sz="1"/>
              <w:bottom w:val="single" w:color="BFBFBF" w:sz="1"/>
              <w:right w:val="single" w:color="BFBFBF" w:sz="1"/>
            </w:tcBorders>
            <w:shd w:fill="EEF3FB" w:val="clear"/>
            <w:tcMar>
              <w:top w:type="dxa" w:w="45"/>
              <w:left w:type="dxa" w:w="100"/>
              <w:bottom w:type="dxa" w:w="45"/>
              <w:right w:type="dxa" w:w="100"/>
            </w:tcMar>
            <w:vAlign w:val="center"/>
          </w:tcPr>
          <w:p>
            <w:pPr>
              <w:jc w:val="left"/>
            </w:pPr>
            <w:r>
              <w:rPr>
                <w:b/>
                <w:bCs/>
                <w:sz w:val="17"/>
                <w:szCs w:val="17"/>
              </w:rPr>
              <w:t xml:space="preserve">Fuel_Price</w:t>
            </w:r>
          </w:p>
        </w:tc>
        <w:tc>
          <w:tcPr>
            <w:tcW w:type="dxa" w:w="6760"/>
            <w:tcBorders>
              <w:top w:val="single" w:color="BFBFBF" w:sz="1"/>
              <w:left w:val="single" w:color="BFBFBF" w:sz="1"/>
              <w:bottom w:val="single" w:color="BFBFBF" w:sz="1"/>
              <w:right w:val="single" w:color="BFBFBF" w:sz="1"/>
            </w:tcBorders>
            <w:shd w:fill="EEF3FB" w:val="clear"/>
            <w:tcMar>
              <w:top w:type="dxa" w:w="45"/>
              <w:left w:type="dxa" w:w="100"/>
              <w:bottom w:type="dxa" w:w="45"/>
              <w:right w:type="dxa" w:w="100"/>
            </w:tcMar>
            <w:vAlign w:val="center"/>
          </w:tcPr>
          <w:p>
            <w:pPr>
              <w:jc w:val="center"/>
            </w:pPr>
            <w:r>
              <w:rPr>
                <w:b w:val="false"/>
                <w:bCs w:val="false"/>
                <w:sz w:val="17"/>
                <w:szCs w:val="17"/>
              </w:rPr>
              <w:t xml:space="preserve">Cost of fuel in the region (USD/gallon)</w:t>
            </w:r>
          </w:p>
        </w:tc>
      </w:tr>
      <w:tr>
        <w:tc>
          <w:tcPr>
            <w:tcW w:type="dxa" w:w="2600"/>
            <w:tcBorders>
              <w:top w:val="single" w:color="BFBFBF" w:sz="1"/>
              <w:left w:val="single" w:color="BFBFBF" w:sz="1"/>
              <w:bottom w:val="single" w:color="BFBFBF" w:sz="1"/>
              <w:right w:val="single" w:color="BFBFBF" w:sz="1"/>
            </w:tcBorders>
            <w:shd w:fill="FFFFFF" w:val="clear"/>
            <w:tcMar>
              <w:top w:type="dxa" w:w="45"/>
              <w:left w:type="dxa" w:w="100"/>
              <w:bottom w:type="dxa" w:w="45"/>
              <w:right w:type="dxa" w:w="100"/>
            </w:tcMar>
            <w:vAlign w:val="center"/>
          </w:tcPr>
          <w:p>
            <w:pPr>
              <w:jc w:val="left"/>
            </w:pPr>
            <w:r>
              <w:rPr>
                <w:b/>
                <w:bCs/>
                <w:sz w:val="17"/>
                <w:szCs w:val="17"/>
              </w:rPr>
              <w:t xml:space="preserve">CPI</w:t>
            </w:r>
          </w:p>
        </w:tc>
        <w:tc>
          <w:tcPr>
            <w:tcW w:type="dxa" w:w="6760"/>
            <w:tcBorders>
              <w:top w:val="single" w:color="BFBFBF" w:sz="1"/>
              <w:left w:val="single" w:color="BFBFBF" w:sz="1"/>
              <w:bottom w:val="single" w:color="BFBFBF" w:sz="1"/>
              <w:right w:val="single" w:color="BFBFBF" w:sz="1"/>
            </w:tcBorders>
            <w:shd w:fill="FFFFFF" w:val="clear"/>
            <w:tcMar>
              <w:top w:type="dxa" w:w="45"/>
              <w:left w:type="dxa" w:w="100"/>
              <w:bottom w:type="dxa" w:w="45"/>
              <w:right w:type="dxa" w:w="100"/>
            </w:tcMar>
            <w:vAlign w:val="center"/>
          </w:tcPr>
          <w:p>
            <w:pPr>
              <w:jc w:val="center"/>
            </w:pPr>
            <w:r>
              <w:rPr>
                <w:b w:val="false"/>
                <w:bCs w:val="false"/>
                <w:sz w:val="17"/>
                <w:szCs w:val="17"/>
              </w:rPr>
              <w:t xml:space="preserve">Consumer Price Index</w:t>
            </w:r>
          </w:p>
        </w:tc>
      </w:tr>
      <w:tr>
        <w:tc>
          <w:tcPr>
            <w:tcW w:type="dxa" w:w="2600"/>
            <w:tcBorders>
              <w:top w:val="single" w:color="BFBFBF" w:sz="1"/>
              <w:left w:val="single" w:color="BFBFBF" w:sz="1"/>
              <w:bottom w:val="single" w:color="BFBFBF" w:sz="1"/>
              <w:right w:val="single" w:color="BFBFBF" w:sz="1"/>
            </w:tcBorders>
            <w:shd w:fill="EEF3FB" w:val="clear"/>
            <w:tcMar>
              <w:top w:type="dxa" w:w="45"/>
              <w:left w:type="dxa" w:w="100"/>
              <w:bottom w:type="dxa" w:w="45"/>
              <w:right w:type="dxa" w:w="100"/>
            </w:tcMar>
            <w:vAlign w:val="center"/>
          </w:tcPr>
          <w:p>
            <w:pPr>
              <w:jc w:val="left"/>
            </w:pPr>
            <w:r>
              <w:rPr>
                <w:b/>
                <w:bCs/>
                <w:sz w:val="17"/>
                <w:szCs w:val="17"/>
              </w:rPr>
              <w:t xml:space="preserve">Unemployment</w:t>
            </w:r>
          </w:p>
        </w:tc>
        <w:tc>
          <w:tcPr>
            <w:tcW w:type="dxa" w:w="6760"/>
            <w:tcBorders>
              <w:top w:val="single" w:color="BFBFBF" w:sz="1"/>
              <w:left w:val="single" w:color="BFBFBF" w:sz="1"/>
              <w:bottom w:val="single" w:color="BFBFBF" w:sz="1"/>
              <w:right w:val="single" w:color="BFBFBF" w:sz="1"/>
            </w:tcBorders>
            <w:shd w:fill="EEF3FB" w:val="clear"/>
            <w:tcMar>
              <w:top w:type="dxa" w:w="45"/>
              <w:left w:type="dxa" w:w="100"/>
              <w:bottom w:type="dxa" w:w="45"/>
              <w:right w:type="dxa" w:w="100"/>
            </w:tcMar>
            <w:vAlign w:val="center"/>
          </w:tcPr>
          <w:p>
            <w:pPr>
              <w:jc w:val="center"/>
            </w:pPr>
            <w:r>
              <w:rPr>
                <w:b w:val="false"/>
                <w:bCs w:val="false"/>
                <w:sz w:val="17"/>
                <w:szCs w:val="17"/>
              </w:rPr>
              <w:t xml:space="preserve">Regional unemployment rate (%)</w:t>
            </w:r>
          </w:p>
        </w:tc>
      </w:tr>
    </w:tbl>
    <w:p>
      <w:pPr>
        <w:spacing w:after="120" w:line="276"/>
        <w:jc w:val="both"/>
      </w:pPr>
      <w:r>
        <w:t xml:space="preserve">Span: 45 stores across 143 consecutive weeks, 5 February 2010 to 26 October 2012. Weekly sales range from about $0.21M to $3.82M, averaging $1.05M.</w:t>
      </w:r>
    </w:p>
    <w:p>
      <w:pPr>
        <w:pStyle w:val="Heading1"/>
        <w:pageBreakBefore/>
        <w:spacing w:after="150" w:before="240"/>
      </w:pPr>
      <w:r>
        <w:t xml:space="preserve">3. Data Cleaning &amp; Missing-Value Treatment</w:t>
      </w:r>
    </w:p>
    <w:p>
      <w:pPr>
        <w:spacing w:after="120" w:line="276"/>
        <w:jc w:val="both"/>
      </w:pPr>
      <w:r>
        <w:t xml:space="preserve">Data quality was checked before analysis. The dataset is complete and clean:</w:t>
      </w:r>
    </w:p>
    <w:p>
      <w:pPr>
        <w:pStyle w:val="ListParagraph"/>
        <w:numPr>
          <w:ilvl w:val="0"/>
          <w:numId w:val="2"/>
        </w:numPr>
        <w:spacing w:after="70" w:line="264"/>
      </w:pPr>
      <w:r>
        <w:rPr>
          <w:b/>
          <w:bCs/>
        </w:rPr>
        <w:t xml:space="preserve">Missing values: </w:t>
      </w:r>
      <w:r>
        <w:t xml:space="preserve">none — all 8 columns are fully populated across all 6,435 rows.</w:t>
      </w:r>
    </w:p>
    <w:p>
      <w:pPr>
        <w:pStyle w:val="ListParagraph"/>
        <w:numPr>
          <w:ilvl w:val="0"/>
          <w:numId w:val="2"/>
        </w:numPr>
        <w:spacing w:after="70" w:line="264"/>
      </w:pPr>
      <w:r>
        <w:rPr>
          <w:b/>
          <w:bCs/>
        </w:rPr>
        <w:t xml:space="preserve">Duplicate rows: </w:t>
      </w:r>
      <w:r>
        <w:t xml:space="preserve">none.</w:t>
      </w:r>
    </w:p>
    <w:p>
      <w:pPr>
        <w:pStyle w:val="ListParagraph"/>
        <w:numPr>
          <w:ilvl w:val="0"/>
          <w:numId w:val="2"/>
        </w:numPr>
        <w:spacing w:after="70" w:line="264"/>
      </w:pPr>
      <w:r>
        <w:rPr>
          <w:b/>
          <w:bCs/>
        </w:rPr>
        <w:t xml:space="preserve">Type correction: </w:t>
      </w:r>
      <w:r>
        <w:t xml:space="preserve">the Date field was parsed from dd-mm-yyyy text into a proper datetime and the records sorted by store and date to form a clean weekly time series for each store.</w:t>
      </w:r>
    </w:p>
    <w:p>
      <w:pPr>
        <w:spacing w:after="120" w:line="276"/>
        <w:jc w:val="both"/>
      </w:pPr>
      <w:r>
        <w:t xml:space="preserve">Because there are no missing values, no imputation was required. Had values been missing, the appropriate treatment would be time-aware interpolation within each store, since every store is an ordered weekly series.</w:t>
      </w:r>
    </w:p>
    <w:p>
      <w:pPr>
        <w:pStyle w:val="Heading1"/>
        <w:pageBreakBefore/>
        <w:spacing w:after="150" w:before="240"/>
      </w:pPr>
      <w:r>
        <w:t xml:space="preserve">4. Exploratory Data Analysis</w:t>
      </w:r>
    </w:p>
    <w:p>
      <w:pPr>
        <w:spacing w:after="120" w:line="276"/>
        <w:jc w:val="both"/>
      </w:pPr>
      <w:r>
        <w:t xml:space="preserve">Weekly sales are right-skewed: most weeks cluster around $1M, with a long tail of very large holiday weeks.</w:t>
      </w:r>
    </w:p>
    <w:p>
      <w:pPr>
        <w:spacing w:after="50" w:before="70"/>
        <w:jc w:val="center"/>
      </w:pPr>
      <w:r>
        <w:drawing>
          <wp:inline distT="0" distB="0" distL="0" distR="0">
            <wp:extent cx="4381500" cy="2466975"/>
            <wp:effectExtent t="0" r="0" b="0" l="0"/>
            <wp:docPr id="1" name="fig1_distribution.png" descr="fig1_distribution.png" title="fig1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466975"/>
                    </a:xfrm>
                    <a:prstGeom prst="rect">
                      <a:avLst/>
                    </a:prstGeom>
                  </pic:spPr>
                </pic:pic>
              </a:graphicData>
            </a:graphic>
          </wp:inline>
        </w:drawing>
      </w:r>
    </w:p>
    <w:p>
      <w:pPr>
        <w:spacing w:after="150"/>
        <w:jc w:val="center"/>
      </w:pPr>
      <w:r>
        <w:rPr>
          <w:i/>
          <w:iCs/>
          <w:color w:val="595959"/>
          <w:sz w:val="17"/>
          <w:szCs w:val="17"/>
        </w:rPr>
        <w:t xml:space="preserve">Figure 1 — Distribution of weekly sales across all stores.</w:t>
      </w:r>
    </w:p>
    <w:p>
      <w:pPr>
        <w:spacing w:after="120" w:line="276"/>
        <w:jc w:val="both"/>
      </w:pPr>
      <w:r>
        <w:t xml:space="preserve">A correlation matrix shows that, pooled across all stores, the external economic and seasonal factors are only weakly related to sales. The strongest associations are with unemployment and CPI, both mildly negative.</w:t>
      </w:r>
    </w:p>
    <w:p>
      <w:pPr>
        <w:spacing w:after="50" w:before="70"/>
        <w:jc w:val="center"/>
      </w:pPr>
      <w:r>
        <w:drawing>
          <wp:inline distT="0" distB="0" distL="0" distR="0">
            <wp:extent cx="3619500" cy="2847975"/>
            <wp:effectExtent t="0" r="0" b="0" l="0"/>
            <wp:docPr id="1" name="fig2_corr.png" descr="fig2_corr.png" title="fig2_cor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2847975"/>
                    </a:xfrm>
                    <a:prstGeom prst="rect">
                      <a:avLst/>
                    </a:prstGeom>
                  </pic:spPr>
                </pic:pic>
              </a:graphicData>
            </a:graphic>
          </wp:inline>
        </w:drawing>
      </w:r>
    </w:p>
    <w:p>
      <w:pPr>
        <w:spacing w:after="150"/>
        <w:jc w:val="center"/>
      </w:pPr>
      <w:r>
        <w:rPr>
          <w:i/>
          <w:iCs/>
          <w:color w:val="595959"/>
          <w:sz w:val="17"/>
          <w:szCs w:val="17"/>
        </w:rPr>
        <w:t xml:space="preserve">Figure 2 — Correlation between weekly sales and the economic / seasonal drivers.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BFBFBF" w:sz="1"/>
              <w:left w:val="single" w:color="BFBFBF" w:sz="1"/>
              <w:bottom w:val="single" w:color="BFBFBF" w:sz="1"/>
              <w:right w:val="single" w:color="BFBFBF" w:sz="1"/>
            </w:tcBorders>
            <w:shd w:fill="1F3864" w:val="clear"/>
            <w:tcMar>
              <w:top w:type="dxa" w:w="55"/>
              <w:left w:type="dxa" w:w="100"/>
              <w:bottom w:type="dxa" w:w="55"/>
              <w:right w:type="dxa" w:w="100"/>
            </w:tcMar>
          </w:tcPr>
          <w:p>
            <w:pPr>
              <w:jc w:val="left"/>
            </w:pPr>
            <w:r>
              <w:rPr>
                <w:b/>
                <w:bCs/>
                <w:color w:val="FFFFFF"/>
                <w:sz w:val="18"/>
                <w:szCs w:val="18"/>
              </w:rPr>
              <w:t xml:space="preserve">Factor</w:t>
            </w:r>
          </w:p>
        </w:tc>
        <w:tc>
          <w:tcPr>
            <w:tcW w:type="dxa" w:w="2000"/>
            <w:tcBorders>
              <w:top w:val="single" w:color="BFBFBF" w:sz="1"/>
              <w:left w:val="single" w:color="BFBFBF" w:sz="1"/>
              <w:bottom w:val="single" w:color="BFBFBF" w:sz="1"/>
              <w:right w:val="single" w:color="BFBFBF" w:sz="1"/>
            </w:tcBorders>
            <w:shd w:fill="1F3864" w:val="clear"/>
            <w:tcMar>
              <w:top w:type="dxa" w:w="55"/>
              <w:left w:type="dxa" w:w="100"/>
              <w:bottom w:type="dxa" w:w="55"/>
              <w:right w:type="dxa" w:w="100"/>
            </w:tcMar>
          </w:tcPr>
          <w:p>
            <w:pPr>
              <w:jc w:val="center"/>
            </w:pPr>
            <w:r>
              <w:rPr>
                <w:b/>
                <w:bCs/>
                <w:color w:val="FFFFFF"/>
                <w:sz w:val="18"/>
                <w:szCs w:val="18"/>
              </w:rPr>
              <w:t xml:space="preserve">Correlation</w:t>
            </w:r>
          </w:p>
        </w:tc>
        <w:tc>
          <w:tcPr>
            <w:tcW w:type="dxa" w:w="4760"/>
            <w:tcBorders>
              <w:top w:val="single" w:color="BFBFBF" w:sz="1"/>
              <w:left w:val="single" w:color="BFBFBF" w:sz="1"/>
              <w:bottom w:val="single" w:color="BFBFBF" w:sz="1"/>
              <w:right w:val="single" w:color="BFBFBF" w:sz="1"/>
            </w:tcBorders>
            <w:shd w:fill="1F3864" w:val="clear"/>
            <w:tcMar>
              <w:top w:type="dxa" w:w="55"/>
              <w:left w:type="dxa" w:w="100"/>
              <w:bottom w:type="dxa" w:w="55"/>
              <w:right w:type="dxa" w:w="100"/>
            </w:tcMar>
          </w:tcPr>
          <w:p>
            <w:pPr>
              <w:jc w:val="center"/>
            </w:pPr>
            <w:r>
              <w:rPr>
                <w:b/>
                <w:bCs/>
                <w:color w:val="FFFFFF"/>
                <w:sz w:val="18"/>
                <w:szCs w:val="18"/>
              </w:rPr>
              <w:t xml:space="preserve">Interpretation</w:t>
            </w:r>
          </w:p>
        </w:tc>
      </w:tr>
      <w:tr>
        <w:tc>
          <w:tcPr>
            <w:tcW w:type="dxa" w:w="2600"/>
            <w:tcBorders>
              <w:top w:val="single" w:color="BFBFBF" w:sz="1"/>
              <w:left w:val="single" w:color="BFBFBF" w:sz="1"/>
              <w:bottom w:val="single" w:color="BFBFBF" w:sz="1"/>
              <w:right w:val="single" w:color="BFBFBF" w:sz="1"/>
            </w:tcBorders>
            <w:shd w:fill="FFFFFF" w:val="clear"/>
            <w:tcMar>
              <w:top w:type="dxa" w:w="45"/>
              <w:left w:type="dxa" w:w="100"/>
              <w:bottom w:type="dxa" w:w="45"/>
              <w:right w:type="dxa" w:w="100"/>
            </w:tcMar>
            <w:vAlign w:val="center"/>
          </w:tcPr>
          <w:p>
            <w:pPr>
              <w:jc w:val="left"/>
            </w:pPr>
            <w:r>
              <w:rPr>
                <w:b/>
                <w:bCs/>
                <w:sz w:val="17"/>
                <w:szCs w:val="17"/>
              </w:rPr>
              <w:t xml:space="preserve">Unemployment</w:t>
            </w:r>
          </w:p>
        </w:tc>
        <w:tc>
          <w:tcPr>
            <w:tcW w:type="dxa" w:w="2000"/>
            <w:tcBorders>
              <w:top w:val="single" w:color="BFBFBF" w:sz="1"/>
              <w:left w:val="single" w:color="BFBFBF" w:sz="1"/>
              <w:bottom w:val="single" w:color="BFBFBF" w:sz="1"/>
              <w:right w:val="single" w:color="BFBFBF" w:sz="1"/>
            </w:tcBorders>
            <w:shd w:fill="FFFFFF" w:val="clear"/>
            <w:tcMar>
              <w:top w:type="dxa" w:w="45"/>
              <w:left w:type="dxa" w:w="100"/>
              <w:bottom w:type="dxa" w:w="45"/>
              <w:right w:type="dxa" w:w="100"/>
            </w:tcMar>
            <w:vAlign w:val="center"/>
          </w:tcPr>
          <w:p>
            <w:pPr>
              <w:jc w:val="center"/>
            </w:pPr>
            <w:r>
              <w:rPr>
                <w:b w:val="false"/>
                <w:bCs w:val="false"/>
                <w:sz w:val="17"/>
                <w:szCs w:val="17"/>
              </w:rPr>
              <w:t xml:space="preserve">−0.11</w:t>
            </w:r>
          </w:p>
        </w:tc>
        <w:tc>
          <w:tcPr>
            <w:tcW w:type="dxa" w:w="4760"/>
            <w:tcBorders>
              <w:top w:val="single" w:color="BFBFBF" w:sz="1"/>
              <w:left w:val="single" w:color="BFBFBF" w:sz="1"/>
              <w:bottom w:val="single" w:color="BFBFBF" w:sz="1"/>
              <w:right w:val="single" w:color="BFBFBF" w:sz="1"/>
            </w:tcBorders>
            <w:shd w:fill="FFFFFF" w:val="clear"/>
            <w:tcMar>
              <w:top w:type="dxa" w:w="45"/>
              <w:left w:type="dxa" w:w="100"/>
              <w:bottom w:type="dxa" w:w="45"/>
              <w:right w:type="dxa" w:w="100"/>
            </w:tcMar>
            <w:vAlign w:val="center"/>
          </w:tcPr>
          <w:p>
            <w:pPr>
              <w:jc w:val="center"/>
            </w:pPr>
            <w:r>
              <w:rPr>
                <w:b w:val="false"/>
                <w:bCs w:val="false"/>
                <w:sz w:val="17"/>
                <w:szCs w:val="17"/>
              </w:rPr>
              <w:t xml:space="preserve">Weak negative (strong for a few stores)</w:t>
            </w:r>
          </w:p>
        </w:tc>
      </w:tr>
      <w:tr>
        <w:tc>
          <w:tcPr>
            <w:tcW w:type="dxa" w:w="2600"/>
            <w:tcBorders>
              <w:top w:val="single" w:color="BFBFBF" w:sz="1"/>
              <w:left w:val="single" w:color="BFBFBF" w:sz="1"/>
              <w:bottom w:val="single" w:color="BFBFBF" w:sz="1"/>
              <w:right w:val="single" w:color="BFBFBF" w:sz="1"/>
            </w:tcBorders>
            <w:shd w:fill="EEF3FB" w:val="clear"/>
            <w:tcMar>
              <w:top w:type="dxa" w:w="45"/>
              <w:left w:type="dxa" w:w="100"/>
              <w:bottom w:type="dxa" w:w="45"/>
              <w:right w:type="dxa" w:w="100"/>
            </w:tcMar>
            <w:vAlign w:val="center"/>
          </w:tcPr>
          <w:p>
            <w:pPr>
              <w:jc w:val="left"/>
            </w:pPr>
            <w:r>
              <w:rPr>
                <w:b/>
                <w:bCs/>
                <w:sz w:val="17"/>
                <w:szCs w:val="17"/>
              </w:rPr>
              <w:t xml:space="preserve">CPI</w:t>
            </w:r>
          </w:p>
        </w:tc>
        <w:tc>
          <w:tcPr>
            <w:tcW w:type="dxa" w:w="2000"/>
            <w:tcBorders>
              <w:top w:val="single" w:color="BFBFBF" w:sz="1"/>
              <w:left w:val="single" w:color="BFBFBF" w:sz="1"/>
              <w:bottom w:val="single" w:color="BFBFBF" w:sz="1"/>
              <w:right w:val="single" w:color="BFBFBF" w:sz="1"/>
            </w:tcBorders>
            <w:shd w:fill="EEF3FB" w:val="clear"/>
            <w:tcMar>
              <w:top w:type="dxa" w:w="45"/>
              <w:left w:type="dxa" w:w="100"/>
              <w:bottom w:type="dxa" w:w="45"/>
              <w:right w:type="dxa" w:w="100"/>
            </w:tcMar>
            <w:vAlign w:val="center"/>
          </w:tcPr>
          <w:p>
            <w:pPr>
              <w:jc w:val="center"/>
            </w:pPr>
            <w:r>
              <w:rPr>
                <w:b w:val="false"/>
                <w:bCs w:val="false"/>
                <w:sz w:val="17"/>
                <w:szCs w:val="17"/>
              </w:rPr>
              <w:t xml:space="preserve">−0.07</w:t>
            </w:r>
          </w:p>
        </w:tc>
        <w:tc>
          <w:tcPr>
            <w:tcW w:type="dxa" w:w="4760"/>
            <w:tcBorders>
              <w:top w:val="single" w:color="BFBFBF" w:sz="1"/>
              <w:left w:val="single" w:color="BFBFBF" w:sz="1"/>
              <w:bottom w:val="single" w:color="BFBFBF" w:sz="1"/>
              <w:right w:val="single" w:color="BFBFBF" w:sz="1"/>
            </w:tcBorders>
            <w:shd w:fill="EEF3FB" w:val="clear"/>
            <w:tcMar>
              <w:top w:type="dxa" w:w="45"/>
              <w:left w:type="dxa" w:w="100"/>
              <w:bottom w:type="dxa" w:w="45"/>
              <w:right w:type="dxa" w:w="100"/>
            </w:tcMar>
            <w:vAlign w:val="center"/>
          </w:tcPr>
          <w:p>
            <w:pPr>
              <w:jc w:val="center"/>
            </w:pPr>
            <w:r>
              <w:rPr>
                <w:b w:val="false"/>
                <w:bCs w:val="false"/>
                <w:sz w:val="17"/>
                <w:szCs w:val="17"/>
              </w:rPr>
              <w:t xml:space="preserve">Weak negative (strong for a few stores)</w:t>
            </w:r>
          </w:p>
        </w:tc>
      </w:tr>
      <w:tr>
        <w:tc>
          <w:tcPr>
            <w:tcW w:type="dxa" w:w="2600"/>
            <w:tcBorders>
              <w:top w:val="single" w:color="BFBFBF" w:sz="1"/>
              <w:left w:val="single" w:color="BFBFBF" w:sz="1"/>
              <w:bottom w:val="single" w:color="BFBFBF" w:sz="1"/>
              <w:right w:val="single" w:color="BFBFBF" w:sz="1"/>
            </w:tcBorders>
            <w:shd w:fill="FFFFFF" w:val="clear"/>
            <w:tcMar>
              <w:top w:type="dxa" w:w="45"/>
              <w:left w:type="dxa" w:w="100"/>
              <w:bottom w:type="dxa" w:w="45"/>
              <w:right w:type="dxa" w:w="100"/>
            </w:tcMar>
            <w:vAlign w:val="center"/>
          </w:tcPr>
          <w:p>
            <w:pPr>
              <w:jc w:val="left"/>
            </w:pPr>
            <w:r>
              <w:rPr>
                <w:b/>
                <w:bCs/>
                <w:sz w:val="17"/>
                <w:szCs w:val="17"/>
              </w:rPr>
              <w:t xml:space="preserve">Temperature</w:t>
            </w:r>
          </w:p>
        </w:tc>
        <w:tc>
          <w:tcPr>
            <w:tcW w:type="dxa" w:w="2000"/>
            <w:tcBorders>
              <w:top w:val="single" w:color="BFBFBF" w:sz="1"/>
              <w:left w:val="single" w:color="BFBFBF" w:sz="1"/>
              <w:bottom w:val="single" w:color="BFBFBF" w:sz="1"/>
              <w:right w:val="single" w:color="BFBFBF" w:sz="1"/>
            </w:tcBorders>
            <w:shd w:fill="FFFFFF" w:val="clear"/>
            <w:tcMar>
              <w:top w:type="dxa" w:w="45"/>
              <w:left w:type="dxa" w:w="100"/>
              <w:bottom w:type="dxa" w:w="45"/>
              <w:right w:type="dxa" w:w="100"/>
            </w:tcMar>
            <w:vAlign w:val="center"/>
          </w:tcPr>
          <w:p>
            <w:pPr>
              <w:jc w:val="center"/>
            </w:pPr>
            <w:r>
              <w:rPr>
                <w:b w:val="false"/>
                <w:bCs w:val="false"/>
                <w:sz w:val="17"/>
                <w:szCs w:val="17"/>
              </w:rPr>
              <w:t xml:space="preserve">−0.06</w:t>
            </w:r>
          </w:p>
        </w:tc>
        <w:tc>
          <w:tcPr>
            <w:tcW w:type="dxa" w:w="4760"/>
            <w:tcBorders>
              <w:top w:val="single" w:color="BFBFBF" w:sz="1"/>
              <w:left w:val="single" w:color="BFBFBF" w:sz="1"/>
              <w:bottom w:val="single" w:color="BFBFBF" w:sz="1"/>
              <w:right w:val="single" w:color="BFBFBF" w:sz="1"/>
            </w:tcBorders>
            <w:shd w:fill="FFFFFF" w:val="clear"/>
            <w:tcMar>
              <w:top w:type="dxa" w:w="45"/>
              <w:left w:type="dxa" w:w="100"/>
              <w:bottom w:type="dxa" w:w="45"/>
              <w:right w:type="dxa" w:w="100"/>
            </w:tcMar>
            <w:vAlign w:val="center"/>
          </w:tcPr>
          <w:p>
            <w:pPr>
              <w:jc w:val="center"/>
            </w:pPr>
            <w:r>
              <w:rPr>
                <w:b w:val="false"/>
                <w:bCs w:val="false"/>
                <w:sz w:val="17"/>
                <w:szCs w:val="17"/>
              </w:rPr>
              <w:t xml:space="preserve">Negligible</w:t>
            </w:r>
          </w:p>
        </w:tc>
      </w:tr>
      <w:tr>
        <w:tc>
          <w:tcPr>
            <w:tcW w:type="dxa" w:w="2600"/>
            <w:tcBorders>
              <w:top w:val="single" w:color="BFBFBF" w:sz="1"/>
              <w:left w:val="single" w:color="BFBFBF" w:sz="1"/>
              <w:bottom w:val="single" w:color="BFBFBF" w:sz="1"/>
              <w:right w:val="single" w:color="BFBFBF" w:sz="1"/>
            </w:tcBorders>
            <w:shd w:fill="EEF3FB" w:val="clear"/>
            <w:tcMar>
              <w:top w:type="dxa" w:w="45"/>
              <w:left w:type="dxa" w:w="100"/>
              <w:bottom w:type="dxa" w:w="45"/>
              <w:right w:type="dxa" w:w="100"/>
            </w:tcMar>
            <w:vAlign w:val="center"/>
          </w:tcPr>
          <w:p>
            <w:pPr>
              <w:jc w:val="left"/>
            </w:pPr>
            <w:r>
              <w:rPr>
                <w:b/>
                <w:bCs/>
                <w:sz w:val="17"/>
                <w:szCs w:val="17"/>
              </w:rPr>
              <w:t xml:space="preserve">Holiday_Flag</w:t>
            </w:r>
          </w:p>
        </w:tc>
        <w:tc>
          <w:tcPr>
            <w:tcW w:type="dxa" w:w="2000"/>
            <w:tcBorders>
              <w:top w:val="single" w:color="BFBFBF" w:sz="1"/>
              <w:left w:val="single" w:color="BFBFBF" w:sz="1"/>
              <w:bottom w:val="single" w:color="BFBFBF" w:sz="1"/>
              <w:right w:val="single" w:color="BFBFBF" w:sz="1"/>
            </w:tcBorders>
            <w:shd w:fill="EEF3FB" w:val="clear"/>
            <w:tcMar>
              <w:top w:type="dxa" w:w="45"/>
              <w:left w:type="dxa" w:w="100"/>
              <w:bottom w:type="dxa" w:w="45"/>
              <w:right w:type="dxa" w:w="100"/>
            </w:tcMar>
            <w:vAlign w:val="center"/>
          </w:tcPr>
          <w:p>
            <w:pPr>
              <w:jc w:val="center"/>
            </w:pPr>
            <w:r>
              <w:rPr>
                <w:b w:val="false"/>
                <w:bCs w:val="false"/>
                <w:sz w:val="17"/>
                <w:szCs w:val="17"/>
              </w:rPr>
              <w:t xml:space="preserve">+0.04</w:t>
            </w:r>
          </w:p>
        </w:tc>
        <w:tc>
          <w:tcPr>
            <w:tcW w:type="dxa" w:w="4760"/>
            <w:tcBorders>
              <w:top w:val="single" w:color="BFBFBF" w:sz="1"/>
              <w:left w:val="single" w:color="BFBFBF" w:sz="1"/>
              <w:bottom w:val="single" w:color="BFBFBF" w:sz="1"/>
              <w:right w:val="single" w:color="BFBFBF" w:sz="1"/>
            </w:tcBorders>
            <w:shd w:fill="EEF3FB" w:val="clear"/>
            <w:tcMar>
              <w:top w:type="dxa" w:w="45"/>
              <w:left w:type="dxa" w:w="100"/>
              <w:bottom w:type="dxa" w:w="45"/>
              <w:right w:type="dxa" w:w="100"/>
            </w:tcMar>
            <w:vAlign w:val="center"/>
          </w:tcPr>
          <w:p>
            <w:pPr>
              <w:jc w:val="center"/>
            </w:pPr>
            <w:r>
              <w:rPr>
                <w:b w:val="false"/>
                <w:bCs w:val="false"/>
                <w:sz w:val="17"/>
                <w:szCs w:val="17"/>
              </w:rPr>
              <w:t xml:space="preserve">Small positive, but significant</w:t>
            </w:r>
          </w:p>
        </w:tc>
      </w:tr>
      <w:tr>
        <w:tc>
          <w:tcPr>
            <w:tcW w:type="dxa" w:w="2600"/>
            <w:tcBorders>
              <w:top w:val="single" w:color="BFBFBF" w:sz="1"/>
              <w:left w:val="single" w:color="BFBFBF" w:sz="1"/>
              <w:bottom w:val="single" w:color="BFBFBF" w:sz="1"/>
              <w:right w:val="single" w:color="BFBFBF" w:sz="1"/>
            </w:tcBorders>
            <w:shd w:fill="FFFFFF" w:val="clear"/>
            <w:tcMar>
              <w:top w:type="dxa" w:w="45"/>
              <w:left w:type="dxa" w:w="100"/>
              <w:bottom w:type="dxa" w:w="45"/>
              <w:right w:type="dxa" w:w="100"/>
            </w:tcMar>
            <w:vAlign w:val="center"/>
          </w:tcPr>
          <w:p>
            <w:pPr>
              <w:jc w:val="left"/>
            </w:pPr>
            <w:r>
              <w:rPr>
                <w:b/>
                <w:bCs/>
                <w:sz w:val="17"/>
                <w:szCs w:val="17"/>
              </w:rPr>
              <w:t xml:space="preserve">Fuel_Price</w:t>
            </w:r>
          </w:p>
        </w:tc>
        <w:tc>
          <w:tcPr>
            <w:tcW w:type="dxa" w:w="2000"/>
            <w:tcBorders>
              <w:top w:val="single" w:color="BFBFBF" w:sz="1"/>
              <w:left w:val="single" w:color="BFBFBF" w:sz="1"/>
              <w:bottom w:val="single" w:color="BFBFBF" w:sz="1"/>
              <w:right w:val="single" w:color="BFBFBF" w:sz="1"/>
            </w:tcBorders>
            <w:shd w:fill="FFFFFF" w:val="clear"/>
            <w:tcMar>
              <w:top w:type="dxa" w:w="45"/>
              <w:left w:type="dxa" w:w="100"/>
              <w:bottom w:type="dxa" w:w="45"/>
              <w:right w:type="dxa" w:w="100"/>
            </w:tcMar>
            <w:vAlign w:val="center"/>
          </w:tcPr>
          <w:p>
            <w:pPr>
              <w:jc w:val="center"/>
            </w:pPr>
            <w:r>
              <w:rPr>
                <w:b w:val="false"/>
                <w:bCs w:val="false"/>
                <w:sz w:val="17"/>
                <w:szCs w:val="17"/>
              </w:rPr>
              <w:t xml:space="preserve">+0.01</w:t>
            </w:r>
          </w:p>
        </w:tc>
        <w:tc>
          <w:tcPr>
            <w:tcW w:type="dxa" w:w="4760"/>
            <w:tcBorders>
              <w:top w:val="single" w:color="BFBFBF" w:sz="1"/>
              <w:left w:val="single" w:color="BFBFBF" w:sz="1"/>
              <w:bottom w:val="single" w:color="BFBFBF" w:sz="1"/>
              <w:right w:val="single" w:color="BFBFBF" w:sz="1"/>
            </w:tcBorders>
            <w:shd w:fill="FFFFFF" w:val="clear"/>
            <w:tcMar>
              <w:top w:type="dxa" w:w="45"/>
              <w:left w:type="dxa" w:w="100"/>
              <w:bottom w:type="dxa" w:w="45"/>
              <w:right w:type="dxa" w:w="100"/>
            </w:tcMar>
            <w:vAlign w:val="center"/>
          </w:tcPr>
          <w:p>
            <w:pPr>
              <w:jc w:val="center"/>
            </w:pPr>
            <w:r>
              <w:rPr>
                <w:b w:val="false"/>
                <w:bCs w:val="false"/>
                <w:sz w:val="17"/>
                <w:szCs w:val="17"/>
              </w:rPr>
              <w:t xml:space="preserve">No meaningful relationship</w:t>
            </w:r>
          </w:p>
        </w:tc>
      </w:tr>
    </w:tbl>
    <w:p>
      <w:pPr>
        <w:spacing w:after="120" w:line="276"/>
        <w:jc w:val="both"/>
      </w:pPr>
      <w:r>
        <w:t xml:space="preserve">The key message: macro variables are not strong linear predictors when all stores are pooled. Their real influence is store-specific and seasonal, which the next sections examine.</w:t>
      </w:r>
    </w:p>
    <w:p>
      <w:pPr>
        <w:pStyle w:val="Heading1"/>
        <w:pageBreakBefore/>
        <w:spacing w:after="150" w:before="240"/>
      </w:pPr>
      <w:r>
        <w:t xml:space="preserve">5. Outlier Analysis</w:t>
      </w:r>
    </w:p>
    <w:p>
      <w:pPr>
        <w:spacing w:after="120" w:line="276"/>
        <w:jc w:val="both"/>
      </w:pPr>
      <w:r>
        <w:t xml:space="preserve">Outliers in weekly sales were identified using the inter-quartile range (IQR) rule. Only 34 rows (0.53%) fall outside the fence, and the most extreme are all late-November and late-December weeks — the Thanksgiving and Christmas shopping peaks.</w:t>
      </w:r>
    </w:p>
    <w:p>
      <w:pPr>
        <w:spacing w:after="50" w:before="70"/>
        <w:jc w:val="center"/>
      </w:pPr>
      <w:r>
        <w:drawing>
          <wp:inline distT="0" distB="0" distL="0" distR="0">
            <wp:extent cx="5715000" cy="2200275"/>
            <wp:effectExtent t="0" r="0" b="0" l="0"/>
            <wp:docPr id="1" name="fig3_outliers.png" descr="fig3_outliers.png" title="fig3_outli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200275"/>
                    </a:xfrm>
                    <a:prstGeom prst="rect">
                      <a:avLst/>
                    </a:prstGeom>
                  </pic:spPr>
                </pic:pic>
              </a:graphicData>
            </a:graphic>
          </wp:inline>
        </w:drawing>
      </w:r>
    </w:p>
    <w:p>
      <w:pPr>
        <w:spacing w:after="150"/>
        <w:jc w:val="center"/>
      </w:pPr>
      <w:r>
        <w:rPr>
          <w:i/>
          <w:iCs/>
          <w:color w:val="595959"/>
          <w:sz w:val="17"/>
          <w:szCs w:val="17"/>
        </w:rPr>
        <w:t xml:space="preserve">Figure 3 — Weekly sales by store (sorted by median); points beyond the whiskers are outliers.</w:t>
      </w:r>
    </w:p>
    <w:p>
      <w:pPr>
        <w:spacing w:after="120" w:line="276"/>
        <w:jc w:val="both"/>
      </w:pPr>
      <w:r>
        <w:rPr>
          <w:b/>
          <w:bCs/>
        </w:rPr>
        <w:t xml:space="preserve">Decision: outliers were retained. </w:t>
      </w:r>
      <w:r>
        <w:t xml:space="preserve">These are genuine seasonal peaks, not data-entry errors. Removing them would erase exactly the holiday-demand signal the business needs to plan for. They were therefore flagged and kept.</w:t>
      </w:r>
    </w:p>
    <w:p>
      <w:pPr>
        <w:pStyle w:val="Heading1"/>
        <w:pageBreakBefore/>
        <w:spacing w:after="150" w:before="240"/>
      </w:pPr>
      <w:r>
        <w:t xml:space="preserve">6. Business Insights</w:t>
      </w:r>
    </w:p>
    <w:p>
      <w:pPr>
        <w:pStyle w:val="Heading2"/>
        <w:spacing w:after="90" w:before="180"/>
      </w:pPr>
      <w:r>
        <w:t xml:space="preserve">(a) Does unemployment affect sales — and which stores suffer most?</w:t>
      </w:r>
    </w:p>
    <w:p>
      <w:pPr>
        <w:spacing w:after="120" w:line="276"/>
        <w:jc w:val="both"/>
      </w:pPr>
      <w:r>
        <w:t xml:space="preserve">Across all stores the effect is weak and negative (r = −0.11), so unemployment is not a universal driver. But the relationship is highly store-specific: a handful of stores are very sensitive to local unemployment.</w:t>
      </w:r>
    </w:p>
    <w:p>
      <w:pPr>
        <w:spacing w:after="50" w:before="70"/>
        <w:jc w:val="center"/>
      </w:pPr>
      <w:r>
        <w:drawing>
          <wp:inline distT="0" distB="0" distL="0" distR="0">
            <wp:extent cx="5715000" cy="2200275"/>
            <wp:effectExtent t="0" r="0" b="0" l="0"/>
            <wp:docPr id="1" name="fig4_unemp.png" descr="fig4_unemp.png" title="fig4_une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200275"/>
                    </a:xfrm>
                    <a:prstGeom prst="rect">
                      <a:avLst/>
                    </a:prstGeom>
                  </pic:spPr>
                </pic:pic>
              </a:graphicData>
            </a:graphic>
          </wp:inline>
        </w:drawing>
      </w:r>
    </w:p>
    <w:p>
      <w:pPr>
        <w:spacing w:after="150"/>
        <w:jc w:val="center"/>
      </w:pPr>
      <w:r>
        <w:rPr>
          <w:i/>
          <w:iCs/>
          <w:color w:val="595959"/>
          <w:sz w:val="17"/>
          <w:szCs w:val="17"/>
        </w:rPr>
        <w:t xml:space="preserve">Figure 4 — Per-store correlation between weekly sales and unemployment.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tblHeader/>
        </w:trPr>
        <w:tc>
          <w:tcPr>
            <w:tcW w:type="dxa" w:w="3000"/>
            <w:tcBorders>
              <w:top w:val="single" w:color="BFBFBF" w:sz="1"/>
              <w:left w:val="single" w:color="BFBFBF" w:sz="1"/>
              <w:bottom w:val="single" w:color="BFBFBF" w:sz="1"/>
              <w:right w:val="single" w:color="BFBFBF" w:sz="1"/>
            </w:tcBorders>
            <w:shd w:fill="1F3864" w:val="clear"/>
            <w:tcMar>
              <w:top w:type="dxa" w:w="55"/>
              <w:left w:type="dxa" w:w="100"/>
              <w:bottom w:type="dxa" w:w="55"/>
              <w:right w:type="dxa" w:w="100"/>
            </w:tcMar>
          </w:tcPr>
          <w:p>
            <w:pPr>
              <w:jc w:val="left"/>
            </w:pPr>
            <w:r>
              <w:rPr>
                <w:b/>
                <w:bCs/>
                <w:color w:val="FFFFFF"/>
                <w:sz w:val="18"/>
                <w:szCs w:val="18"/>
              </w:rPr>
              <w:t xml:space="preserve">Store</w:t>
            </w:r>
          </w:p>
        </w:tc>
        <w:tc>
          <w:tcPr>
            <w:tcW w:type="dxa" w:w="3360"/>
            <w:tcBorders>
              <w:top w:val="single" w:color="BFBFBF" w:sz="1"/>
              <w:left w:val="single" w:color="BFBFBF" w:sz="1"/>
              <w:bottom w:val="single" w:color="BFBFBF" w:sz="1"/>
              <w:right w:val="single" w:color="BFBFBF" w:sz="1"/>
            </w:tcBorders>
            <w:shd w:fill="1F3864" w:val="clear"/>
            <w:tcMar>
              <w:top w:type="dxa" w:w="55"/>
              <w:left w:type="dxa" w:w="100"/>
              <w:bottom w:type="dxa" w:w="55"/>
              <w:right w:type="dxa" w:w="100"/>
            </w:tcMar>
          </w:tcPr>
          <w:p>
            <w:pPr>
              <w:jc w:val="center"/>
            </w:pPr>
            <w:r>
              <w:rPr>
                <w:b/>
                <w:bCs/>
                <w:color w:val="FFFFFF"/>
                <w:sz w:val="18"/>
                <w:szCs w:val="18"/>
              </w:rPr>
              <w:t xml:space="preserve">Corr. with Unemployment</w:t>
            </w:r>
          </w:p>
        </w:tc>
        <w:tc>
          <w:tcPr>
            <w:tcW w:type="dxa" w:w="3000"/>
            <w:tcBorders>
              <w:top w:val="single" w:color="BFBFBF" w:sz="1"/>
              <w:left w:val="single" w:color="BFBFBF" w:sz="1"/>
              <w:bottom w:val="single" w:color="BFBFBF" w:sz="1"/>
              <w:right w:val="single" w:color="BFBFBF" w:sz="1"/>
            </w:tcBorders>
            <w:shd w:fill="1F3864" w:val="clear"/>
            <w:tcMar>
              <w:top w:type="dxa" w:w="55"/>
              <w:left w:type="dxa" w:w="100"/>
              <w:bottom w:type="dxa" w:w="55"/>
              <w:right w:type="dxa" w:w="100"/>
            </w:tcMar>
          </w:tcPr>
          <w:p>
            <w:pPr>
              <w:jc w:val="center"/>
            </w:pPr>
            <w:r>
              <w:rPr>
                <w:b/>
                <w:bCs/>
                <w:color w:val="FFFFFF"/>
                <w:sz w:val="18"/>
                <w:szCs w:val="18"/>
              </w:rPr>
              <w:t xml:space="preserve">Sensitivity</w:t>
            </w:r>
          </w:p>
        </w:tc>
      </w:tr>
      <w:tr>
        <w:tc>
          <w:tcPr>
            <w:tcW w:type="dxa" w:w="3000"/>
            <w:tcBorders>
              <w:top w:val="single" w:color="BFBFBF" w:sz="1"/>
              <w:left w:val="single" w:color="BFBFBF" w:sz="1"/>
              <w:bottom w:val="single" w:color="BFBFBF" w:sz="1"/>
              <w:right w:val="single" w:color="BFBFBF" w:sz="1"/>
            </w:tcBorders>
            <w:shd w:fill="FFFFFF" w:val="clear"/>
            <w:tcMar>
              <w:top w:type="dxa" w:w="45"/>
              <w:left w:type="dxa" w:w="100"/>
              <w:bottom w:type="dxa" w:w="45"/>
              <w:right w:type="dxa" w:w="100"/>
            </w:tcMar>
            <w:vAlign w:val="center"/>
          </w:tcPr>
          <w:p>
            <w:pPr>
              <w:jc w:val="left"/>
            </w:pPr>
            <w:r>
              <w:rPr>
                <w:b/>
                <w:bCs/>
                <w:sz w:val="17"/>
                <w:szCs w:val="17"/>
              </w:rPr>
              <w:t xml:space="preserve">Store 38</w:t>
            </w:r>
          </w:p>
        </w:tc>
        <w:tc>
          <w:tcPr>
            <w:tcW w:type="dxa" w:w="3360"/>
            <w:tcBorders>
              <w:top w:val="single" w:color="BFBFBF" w:sz="1"/>
              <w:left w:val="single" w:color="BFBFBF" w:sz="1"/>
              <w:bottom w:val="single" w:color="BFBFBF" w:sz="1"/>
              <w:right w:val="single" w:color="BFBFBF" w:sz="1"/>
            </w:tcBorders>
            <w:shd w:fill="FFFFFF" w:val="clear"/>
            <w:tcMar>
              <w:top w:type="dxa" w:w="45"/>
              <w:left w:type="dxa" w:w="100"/>
              <w:bottom w:type="dxa" w:w="45"/>
              <w:right w:type="dxa" w:w="100"/>
            </w:tcMar>
            <w:vAlign w:val="center"/>
          </w:tcPr>
          <w:p>
            <w:pPr>
              <w:jc w:val="center"/>
            </w:pPr>
            <w:r>
              <w:rPr>
                <w:b w:val="false"/>
                <w:bCs w:val="false"/>
                <w:sz w:val="17"/>
                <w:szCs w:val="17"/>
              </w:rPr>
              <w:t xml:space="preserve">−0.79</w:t>
            </w:r>
          </w:p>
        </w:tc>
        <w:tc>
          <w:tcPr>
            <w:tcW w:type="dxa" w:w="3000"/>
            <w:tcBorders>
              <w:top w:val="single" w:color="BFBFBF" w:sz="1"/>
              <w:left w:val="single" w:color="BFBFBF" w:sz="1"/>
              <w:bottom w:val="single" w:color="BFBFBF" w:sz="1"/>
              <w:right w:val="single" w:color="BFBFBF" w:sz="1"/>
            </w:tcBorders>
            <w:shd w:fill="FFFFFF" w:val="clear"/>
            <w:tcMar>
              <w:top w:type="dxa" w:w="45"/>
              <w:left w:type="dxa" w:w="100"/>
              <w:bottom w:type="dxa" w:w="45"/>
              <w:right w:type="dxa" w:w="100"/>
            </w:tcMar>
            <w:vAlign w:val="center"/>
          </w:tcPr>
          <w:p>
            <w:pPr>
              <w:jc w:val="center"/>
            </w:pPr>
            <w:r>
              <w:rPr>
                <w:b w:val="false"/>
                <w:bCs w:val="false"/>
                <w:sz w:val="17"/>
                <w:szCs w:val="17"/>
              </w:rPr>
              <w:t xml:space="preserve">Very high</w:t>
            </w:r>
          </w:p>
        </w:tc>
      </w:tr>
      <w:tr>
        <w:tc>
          <w:tcPr>
            <w:tcW w:type="dxa" w:w="3000"/>
            <w:tcBorders>
              <w:top w:val="single" w:color="BFBFBF" w:sz="1"/>
              <w:left w:val="single" w:color="BFBFBF" w:sz="1"/>
              <w:bottom w:val="single" w:color="BFBFBF" w:sz="1"/>
              <w:right w:val="single" w:color="BFBFBF" w:sz="1"/>
            </w:tcBorders>
            <w:shd w:fill="EEF3FB" w:val="clear"/>
            <w:tcMar>
              <w:top w:type="dxa" w:w="45"/>
              <w:left w:type="dxa" w:w="100"/>
              <w:bottom w:type="dxa" w:w="45"/>
              <w:right w:type="dxa" w:w="100"/>
            </w:tcMar>
            <w:vAlign w:val="center"/>
          </w:tcPr>
          <w:p>
            <w:pPr>
              <w:jc w:val="left"/>
            </w:pPr>
            <w:r>
              <w:rPr>
                <w:b/>
                <w:bCs/>
                <w:sz w:val="17"/>
                <w:szCs w:val="17"/>
              </w:rPr>
              <w:t xml:space="preserve">Store 44</w:t>
            </w:r>
          </w:p>
        </w:tc>
        <w:tc>
          <w:tcPr>
            <w:tcW w:type="dxa" w:w="3360"/>
            <w:tcBorders>
              <w:top w:val="single" w:color="BFBFBF" w:sz="1"/>
              <w:left w:val="single" w:color="BFBFBF" w:sz="1"/>
              <w:bottom w:val="single" w:color="BFBFBF" w:sz="1"/>
              <w:right w:val="single" w:color="BFBFBF" w:sz="1"/>
            </w:tcBorders>
            <w:shd w:fill="EEF3FB" w:val="clear"/>
            <w:tcMar>
              <w:top w:type="dxa" w:w="45"/>
              <w:left w:type="dxa" w:w="100"/>
              <w:bottom w:type="dxa" w:w="45"/>
              <w:right w:type="dxa" w:w="100"/>
            </w:tcMar>
            <w:vAlign w:val="center"/>
          </w:tcPr>
          <w:p>
            <w:pPr>
              <w:jc w:val="center"/>
            </w:pPr>
            <w:r>
              <w:rPr>
                <w:b w:val="false"/>
                <w:bCs w:val="false"/>
                <w:sz w:val="17"/>
                <w:szCs w:val="17"/>
              </w:rPr>
              <w:t xml:space="preserve">−0.78</w:t>
            </w:r>
          </w:p>
        </w:tc>
        <w:tc>
          <w:tcPr>
            <w:tcW w:type="dxa" w:w="3000"/>
            <w:tcBorders>
              <w:top w:val="single" w:color="BFBFBF" w:sz="1"/>
              <w:left w:val="single" w:color="BFBFBF" w:sz="1"/>
              <w:bottom w:val="single" w:color="BFBFBF" w:sz="1"/>
              <w:right w:val="single" w:color="BFBFBF" w:sz="1"/>
            </w:tcBorders>
            <w:shd w:fill="EEF3FB" w:val="clear"/>
            <w:tcMar>
              <w:top w:type="dxa" w:w="45"/>
              <w:left w:type="dxa" w:w="100"/>
              <w:bottom w:type="dxa" w:w="45"/>
              <w:right w:type="dxa" w:w="100"/>
            </w:tcMar>
            <w:vAlign w:val="center"/>
          </w:tcPr>
          <w:p>
            <w:pPr>
              <w:jc w:val="center"/>
            </w:pPr>
            <w:r>
              <w:rPr>
                <w:b w:val="false"/>
                <w:bCs w:val="false"/>
                <w:sz w:val="17"/>
                <w:szCs w:val="17"/>
              </w:rPr>
              <w:t xml:space="preserve">Very high</w:t>
            </w:r>
          </w:p>
        </w:tc>
      </w:tr>
      <w:tr>
        <w:tc>
          <w:tcPr>
            <w:tcW w:type="dxa" w:w="3000"/>
            <w:tcBorders>
              <w:top w:val="single" w:color="BFBFBF" w:sz="1"/>
              <w:left w:val="single" w:color="BFBFBF" w:sz="1"/>
              <w:bottom w:val="single" w:color="BFBFBF" w:sz="1"/>
              <w:right w:val="single" w:color="BFBFBF" w:sz="1"/>
            </w:tcBorders>
            <w:shd w:fill="FFFFFF" w:val="clear"/>
            <w:tcMar>
              <w:top w:type="dxa" w:w="45"/>
              <w:left w:type="dxa" w:w="100"/>
              <w:bottom w:type="dxa" w:w="45"/>
              <w:right w:type="dxa" w:w="100"/>
            </w:tcMar>
            <w:vAlign w:val="center"/>
          </w:tcPr>
          <w:p>
            <w:pPr>
              <w:jc w:val="left"/>
            </w:pPr>
            <w:r>
              <w:rPr>
                <w:b/>
                <w:bCs/>
                <w:sz w:val="17"/>
                <w:szCs w:val="17"/>
              </w:rPr>
              <w:t xml:space="preserve">Store 39</w:t>
            </w:r>
          </w:p>
        </w:tc>
        <w:tc>
          <w:tcPr>
            <w:tcW w:type="dxa" w:w="3360"/>
            <w:tcBorders>
              <w:top w:val="single" w:color="BFBFBF" w:sz="1"/>
              <w:left w:val="single" w:color="BFBFBF" w:sz="1"/>
              <w:bottom w:val="single" w:color="BFBFBF" w:sz="1"/>
              <w:right w:val="single" w:color="BFBFBF" w:sz="1"/>
            </w:tcBorders>
            <w:shd w:fill="FFFFFF" w:val="clear"/>
            <w:tcMar>
              <w:top w:type="dxa" w:w="45"/>
              <w:left w:type="dxa" w:w="100"/>
              <w:bottom w:type="dxa" w:w="45"/>
              <w:right w:type="dxa" w:w="100"/>
            </w:tcMar>
            <w:vAlign w:val="center"/>
          </w:tcPr>
          <w:p>
            <w:pPr>
              <w:jc w:val="center"/>
            </w:pPr>
            <w:r>
              <w:rPr>
                <w:b w:val="false"/>
                <w:bCs w:val="false"/>
                <w:sz w:val="17"/>
                <w:szCs w:val="17"/>
              </w:rPr>
              <w:t xml:space="preserve">−0.39</w:t>
            </w:r>
          </w:p>
        </w:tc>
        <w:tc>
          <w:tcPr>
            <w:tcW w:type="dxa" w:w="3000"/>
            <w:tcBorders>
              <w:top w:val="single" w:color="BFBFBF" w:sz="1"/>
              <w:left w:val="single" w:color="BFBFBF" w:sz="1"/>
              <w:bottom w:val="single" w:color="BFBFBF" w:sz="1"/>
              <w:right w:val="single" w:color="BFBFBF" w:sz="1"/>
            </w:tcBorders>
            <w:shd w:fill="FFFFFF" w:val="clear"/>
            <w:tcMar>
              <w:top w:type="dxa" w:w="45"/>
              <w:left w:type="dxa" w:w="100"/>
              <w:bottom w:type="dxa" w:w="45"/>
              <w:right w:type="dxa" w:w="100"/>
            </w:tcMar>
            <w:vAlign w:val="center"/>
          </w:tcPr>
          <w:p>
            <w:pPr>
              <w:jc w:val="center"/>
            </w:pPr>
            <w:r>
              <w:rPr>
                <w:b w:val="false"/>
                <w:bCs w:val="false"/>
                <w:sz w:val="17"/>
                <w:szCs w:val="17"/>
              </w:rPr>
              <w:t xml:space="preserve">Moderate</w:t>
            </w:r>
          </w:p>
        </w:tc>
      </w:tr>
      <w:tr>
        <w:tc>
          <w:tcPr>
            <w:tcW w:type="dxa" w:w="3000"/>
            <w:tcBorders>
              <w:top w:val="single" w:color="BFBFBF" w:sz="1"/>
              <w:left w:val="single" w:color="BFBFBF" w:sz="1"/>
              <w:bottom w:val="single" w:color="BFBFBF" w:sz="1"/>
              <w:right w:val="single" w:color="BFBFBF" w:sz="1"/>
            </w:tcBorders>
            <w:shd w:fill="EEF3FB" w:val="clear"/>
            <w:tcMar>
              <w:top w:type="dxa" w:w="45"/>
              <w:left w:type="dxa" w:w="100"/>
              <w:bottom w:type="dxa" w:w="45"/>
              <w:right w:type="dxa" w:w="100"/>
            </w:tcMar>
            <w:vAlign w:val="center"/>
          </w:tcPr>
          <w:p>
            <w:pPr>
              <w:jc w:val="left"/>
            </w:pPr>
            <w:r>
              <w:rPr>
                <w:b/>
                <w:bCs/>
                <w:sz w:val="17"/>
                <w:szCs w:val="17"/>
              </w:rPr>
              <w:t xml:space="preserve">Store 42</w:t>
            </w:r>
          </w:p>
        </w:tc>
        <w:tc>
          <w:tcPr>
            <w:tcW w:type="dxa" w:w="3360"/>
            <w:tcBorders>
              <w:top w:val="single" w:color="BFBFBF" w:sz="1"/>
              <w:left w:val="single" w:color="BFBFBF" w:sz="1"/>
              <w:bottom w:val="single" w:color="BFBFBF" w:sz="1"/>
              <w:right w:val="single" w:color="BFBFBF" w:sz="1"/>
            </w:tcBorders>
            <w:shd w:fill="EEF3FB" w:val="clear"/>
            <w:tcMar>
              <w:top w:type="dxa" w:w="45"/>
              <w:left w:type="dxa" w:w="100"/>
              <w:bottom w:type="dxa" w:w="45"/>
              <w:right w:type="dxa" w:w="100"/>
            </w:tcMar>
            <w:vAlign w:val="center"/>
          </w:tcPr>
          <w:p>
            <w:pPr>
              <w:jc w:val="center"/>
            </w:pPr>
            <w:r>
              <w:rPr>
                <w:b w:val="false"/>
                <w:bCs w:val="false"/>
                <w:sz w:val="17"/>
                <w:szCs w:val="17"/>
              </w:rPr>
              <w:t xml:space="preserve">−0.36</w:t>
            </w:r>
          </w:p>
        </w:tc>
        <w:tc>
          <w:tcPr>
            <w:tcW w:type="dxa" w:w="3000"/>
            <w:tcBorders>
              <w:top w:val="single" w:color="BFBFBF" w:sz="1"/>
              <w:left w:val="single" w:color="BFBFBF" w:sz="1"/>
              <w:bottom w:val="single" w:color="BFBFBF" w:sz="1"/>
              <w:right w:val="single" w:color="BFBFBF" w:sz="1"/>
            </w:tcBorders>
            <w:shd w:fill="EEF3FB" w:val="clear"/>
            <w:tcMar>
              <w:top w:type="dxa" w:w="45"/>
              <w:left w:type="dxa" w:w="100"/>
              <w:bottom w:type="dxa" w:w="45"/>
              <w:right w:type="dxa" w:w="100"/>
            </w:tcMar>
            <w:vAlign w:val="center"/>
          </w:tcPr>
          <w:p>
            <w:pPr>
              <w:jc w:val="center"/>
            </w:pPr>
            <w:r>
              <w:rPr>
                <w:b w:val="false"/>
                <w:bCs w:val="false"/>
                <w:sz w:val="17"/>
                <w:szCs w:val="17"/>
              </w:rPr>
              <w:t xml:space="preserve">Moderate</w:t>
            </w:r>
          </w:p>
        </w:tc>
      </w:tr>
      <w:tr>
        <w:tc>
          <w:tcPr>
            <w:tcW w:type="dxa" w:w="3000"/>
            <w:tcBorders>
              <w:top w:val="single" w:color="BFBFBF" w:sz="1"/>
              <w:left w:val="single" w:color="BFBFBF" w:sz="1"/>
              <w:bottom w:val="single" w:color="BFBFBF" w:sz="1"/>
              <w:right w:val="single" w:color="BFBFBF" w:sz="1"/>
            </w:tcBorders>
            <w:shd w:fill="FFFFFF" w:val="clear"/>
            <w:tcMar>
              <w:top w:type="dxa" w:w="45"/>
              <w:left w:type="dxa" w:w="100"/>
              <w:bottom w:type="dxa" w:w="45"/>
              <w:right w:type="dxa" w:w="100"/>
            </w:tcMar>
            <w:vAlign w:val="center"/>
          </w:tcPr>
          <w:p>
            <w:pPr>
              <w:jc w:val="left"/>
            </w:pPr>
            <w:r>
              <w:rPr>
                <w:b/>
                <w:bCs/>
                <w:sz w:val="17"/>
                <w:szCs w:val="17"/>
              </w:rPr>
              <w:t xml:space="preserve">Store 41</w:t>
            </w:r>
          </w:p>
        </w:tc>
        <w:tc>
          <w:tcPr>
            <w:tcW w:type="dxa" w:w="3360"/>
            <w:tcBorders>
              <w:top w:val="single" w:color="BFBFBF" w:sz="1"/>
              <w:left w:val="single" w:color="BFBFBF" w:sz="1"/>
              <w:bottom w:val="single" w:color="BFBFBF" w:sz="1"/>
              <w:right w:val="single" w:color="BFBFBF" w:sz="1"/>
            </w:tcBorders>
            <w:shd w:fill="FFFFFF" w:val="clear"/>
            <w:tcMar>
              <w:top w:type="dxa" w:w="45"/>
              <w:left w:type="dxa" w:w="100"/>
              <w:bottom w:type="dxa" w:w="45"/>
              <w:right w:type="dxa" w:w="100"/>
            </w:tcMar>
            <w:vAlign w:val="center"/>
          </w:tcPr>
          <w:p>
            <w:pPr>
              <w:jc w:val="center"/>
            </w:pPr>
            <w:r>
              <w:rPr>
                <w:b w:val="false"/>
                <w:bCs w:val="false"/>
                <w:sz w:val="17"/>
                <w:szCs w:val="17"/>
              </w:rPr>
              <w:t xml:space="preserve">−0.35</w:t>
            </w:r>
          </w:p>
        </w:tc>
        <w:tc>
          <w:tcPr>
            <w:tcW w:type="dxa" w:w="3000"/>
            <w:tcBorders>
              <w:top w:val="single" w:color="BFBFBF" w:sz="1"/>
              <w:left w:val="single" w:color="BFBFBF" w:sz="1"/>
              <w:bottom w:val="single" w:color="BFBFBF" w:sz="1"/>
              <w:right w:val="single" w:color="BFBFBF" w:sz="1"/>
            </w:tcBorders>
            <w:shd w:fill="FFFFFF" w:val="clear"/>
            <w:tcMar>
              <w:top w:type="dxa" w:w="45"/>
              <w:left w:type="dxa" w:w="100"/>
              <w:bottom w:type="dxa" w:w="45"/>
              <w:right w:type="dxa" w:w="100"/>
            </w:tcMar>
            <w:vAlign w:val="center"/>
          </w:tcPr>
          <w:p>
            <w:pPr>
              <w:jc w:val="center"/>
            </w:pPr>
            <w:r>
              <w:rPr>
                <w:b w:val="false"/>
                <w:bCs w:val="false"/>
                <w:sz w:val="17"/>
                <w:szCs w:val="17"/>
              </w:rPr>
              <w:t xml:space="preserve">Moderate</w:t>
            </w:r>
          </w:p>
        </w:tc>
      </w:tr>
      <w:tr>
        <w:tc>
          <w:tcPr>
            <w:tcW w:type="dxa" w:w="3000"/>
            <w:tcBorders>
              <w:top w:val="single" w:color="BFBFBF" w:sz="1"/>
              <w:left w:val="single" w:color="BFBFBF" w:sz="1"/>
              <w:bottom w:val="single" w:color="BFBFBF" w:sz="1"/>
              <w:right w:val="single" w:color="BFBFBF" w:sz="1"/>
            </w:tcBorders>
            <w:shd w:fill="EEF3FB" w:val="clear"/>
            <w:tcMar>
              <w:top w:type="dxa" w:w="45"/>
              <w:left w:type="dxa" w:w="100"/>
              <w:bottom w:type="dxa" w:w="45"/>
              <w:right w:type="dxa" w:w="100"/>
            </w:tcMar>
            <w:vAlign w:val="center"/>
          </w:tcPr>
          <w:p>
            <w:pPr>
              <w:jc w:val="left"/>
            </w:pPr>
            <w:r>
              <w:rPr>
                <w:b/>
                <w:bCs/>
                <w:sz w:val="17"/>
                <w:szCs w:val="17"/>
              </w:rPr>
              <w:t xml:space="preserve">Store 4</w:t>
            </w:r>
          </w:p>
        </w:tc>
        <w:tc>
          <w:tcPr>
            <w:tcW w:type="dxa" w:w="3360"/>
            <w:tcBorders>
              <w:top w:val="single" w:color="BFBFBF" w:sz="1"/>
              <w:left w:val="single" w:color="BFBFBF" w:sz="1"/>
              <w:bottom w:val="single" w:color="BFBFBF" w:sz="1"/>
              <w:right w:val="single" w:color="BFBFBF" w:sz="1"/>
            </w:tcBorders>
            <w:shd w:fill="EEF3FB" w:val="clear"/>
            <w:tcMar>
              <w:top w:type="dxa" w:w="45"/>
              <w:left w:type="dxa" w:w="100"/>
              <w:bottom w:type="dxa" w:w="45"/>
              <w:right w:type="dxa" w:w="100"/>
            </w:tcMar>
            <w:vAlign w:val="center"/>
          </w:tcPr>
          <w:p>
            <w:pPr>
              <w:jc w:val="center"/>
            </w:pPr>
            <w:r>
              <w:rPr>
                <w:b w:val="false"/>
                <w:bCs w:val="false"/>
                <w:sz w:val="17"/>
                <w:szCs w:val="17"/>
              </w:rPr>
              <w:t xml:space="preserve">−0.34</w:t>
            </w:r>
          </w:p>
        </w:tc>
        <w:tc>
          <w:tcPr>
            <w:tcW w:type="dxa" w:w="3000"/>
            <w:tcBorders>
              <w:top w:val="single" w:color="BFBFBF" w:sz="1"/>
              <w:left w:val="single" w:color="BFBFBF" w:sz="1"/>
              <w:bottom w:val="single" w:color="BFBFBF" w:sz="1"/>
              <w:right w:val="single" w:color="BFBFBF" w:sz="1"/>
            </w:tcBorders>
            <w:shd w:fill="EEF3FB" w:val="clear"/>
            <w:tcMar>
              <w:top w:type="dxa" w:w="45"/>
              <w:left w:type="dxa" w:w="100"/>
              <w:bottom w:type="dxa" w:w="45"/>
              <w:right w:type="dxa" w:w="100"/>
            </w:tcMar>
            <w:vAlign w:val="center"/>
          </w:tcPr>
          <w:p>
            <w:pPr>
              <w:jc w:val="center"/>
            </w:pPr>
            <w:r>
              <w:rPr>
                <w:b w:val="false"/>
                <w:bCs w:val="false"/>
                <w:sz w:val="17"/>
                <w:szCs w:val="17"/>
              </w:rPr>
              <w:t xml:space="preserve">Moderate</w:t>
            </w:r>
          </w:p>
        </w:tc>
      </w:tr>
    </w:tbl>
    <w:p>
      <w:pPr>
        <w:spacing w:after="120" w:line="276"/>
        <w:jc w:val="both"/>
      </w:pPr>
      <w:r>
        <w:rPr>
          <w:b/>
          <w:bCs/>
        </w:rPr>
        <w:t xml:space="preserve">Answer: </w:t>
      </w:r>
      <w:r>
        <w:t xml:space="preserve">Stores 38 and 44 suffer most when unemployment rises, followed by 39, 42, 41 and 4. These should be protected with targeted promotions and leaner inventory during downturns.</w:t>
      </w:r>
    </w:p>
    <w:p>
      <w:pPr>
        <w:pStyle w:val="Heading2"/>
        <w:spacing w:after="90" w:before="180"/>
      </w:pPr>
      <w:r>
        <w:t xml:space="preserve">(b) Is there a seasonal trend — when, and why?</w:t>
      </w:r>
    </w:p>
    <w:p>
      <w:pPr>
        <w:spacing w:after="120" w:line="276"/>
        <w:jc w:val="both"/>
      </w:pPr>
      <w:r>
        <w:t xml:space="preserve">Yes — a strong, repeatable annual cycle. Chain-wide sales sit around $45–48M per week for most of the year, then spike sharply every November and December (Thanksgiving and Christmas).</w:t>
      </w:r>
    </w:p>
    <w:p>
      <w:pPr>
        <w:spacing w:after="50" w:before="70"/>
        <w:jc w:val="center"/>
      </w:pPr>
      <w:r>
        <w:drawing>
          <wp:inline distT="0" distB="0" distL="0" distR="0">
            <wp:extent cx="5715000" cy="2143125"/>
            <wp:effectExtent t="0" r="0" b="0" l="0"/>
            <wp:docPr id="1" name="fig5_total_sales.png" descr="fig5_total_sales.png" title="fig5_total_sa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143125"/>
                    </a:xfrm>
                    <a:prstGeom prst="rect">
                      <a:avLst/>
                    </a:prstGeom>
                  </pic:spPr>
                </pic:pic>
              </a:graphicData>
            </a:graphic>
          </wp:inline>
        </w:drawing>
      </w:r>
    </w:p>
    <w:p>
      <w:pPr>
        <w:spacing w:after="150"/>
        <w:jc w:val="center"/>
      </w:pPr>
      <w:r>
        <w:rPr>
          <w:i/>
          <w:iCs/>
          <w:color w:val="595959"/>
          <w:sz w:val="17"/>
          <w:szCs w:val="17"/>
        </w:rPr>
        <w:t xml:space="preserve">Figure 5 — Total weekly sales across all stores (red lines mark Christmas weeks).</w:t>
      </w:r>
    </w:p>
    <w:p>
      <w:pPr>
        <w:spacing w:after="50" w:before="70"/>
        <w:jc w:val="center"/>
      </w:pPr>
      <w:r>
        <w:drawing>
          <wp:inline distT="0" distB="0" distL="0" distR="0">
            <wp:extent cx="4476750" cy="2238375"/>
            <wp:effectExtent t="0" r="0" b="0" l="0"/>
            <wp:docPr id="1" name="fig6_month.png" descr="fig6_month.png" title="fig6_mon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2238375"/>
                    </a:xfrm>
                    <a:prstGeom prst="rect">
                      <a:avLst/>
                    </a:prstGeom>
                  </pic:spPr>
                </pic:pic>
              </a:graphicData>
            </a:graphic>
          </wp:inline>
        </w:drawing>
      </w:r>
    </w:p>
    <w:p>
      <w:pPr>
        <w:spacing w:after="150"/>
        <w:jc w:val="center"/>
      </w:pPr>
      <w:r>
        <w:rPr>
          <w:i/>
          <w:iCs/>
          <w:color w:val="595959"/>
          <w:sz w:val="17"/>
          <w:szCs w:val="17"/>
        </w:rPr>
        <w:t xml:space="preserve">Figure 6 — Average weekly sales by month; November and December dominate.</w:t>
      </w:r>
    </w:p>
    <w:p>
      <w:pPr>
        <w:pStyle w:val="Heading2"/>
        <w:spacing w:after="90" w:before="180"/>
      </w:pPr>
      <w:r>
        <w:t xml:space="preserve">(c) Does temperature affect sales?</w:t>
      </w:r>
    </w:p>
    <w:p>
      <w:pPr>
        <w:spacing w:after="120" w:line="276"/>
        <w:jc w:val="both"/>
      </w:pPr>
      <w:r>
        <w:rPr>
          <w:b/>
          <w:bCs/>
        </w:rPr>
        <w:t xml:space="preserve">Answer: </w:t>
      </w:r>
      <w:r>
        <w:t xml:space="preserve">Almost no effect (r = −0.06). Average sales are essentially flat across temperature bands, dipping only slightly in extreme heat. The calendar matters far more than the weather.</w:t>
      </w:r>
    </w:p>
    <w:p>
      <w:pPr>
        <w:pStyle w:val="Heading2"/>
        <w:spacing w:after="90" w:before="180"/>
      </w:pPr>
      <w:r>
        <w:t xml:space="preserve">(d) How does the Consumer Price Index (CPI) affect sales?</w:t>
      </w:r>
    </w:p>
    <w:p>
      <w:pPr>
        <w:spacing w:after="120" w:line="276"/>
        <w:jc w:val="both"/>
      </w:pPr>
      <w:r>
        <w:t xml:space="preserve">Pooled, CPI is weakly negative (r = −0.07). As with unemployment, the impact is concentrated in particular stores.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tblHeader/>
        </w:trPr>
        <w:tc>
          <w:tcPr>
            <w:tcW w:type="dxa" w:w="3000"/>
            <w:tcBorders>
              <w:top w:val="single" w:color="BFBFBF" w:sz="1"/>
              <w:left w:val="single" w:color="BFBFBF" w:sz="1"/>
              <w:bottom w:val="single" w:color="BFBFBF" w:sz="1"/>
              <w:right w:val="single" w:color="BFBFBF" w:sz="1"/>
            </w:tcBorders>
            <w:shd w:fill="1F3864" w:val="clear"/>
            <w:tcMar>
              <w:top w:type="dxa" w:w="55"/>
              <w:left w:type="dxa" w:w="100"/>
              <w:bottom w:type="dxa" w:w="55"/>
              <w:right w:type="dxa" w:w="100"/>
            </w:tcMar>
          </w:tcPr>
          <w:p>
            <w:pPr>
              <w:jc w:val="left"/>
            </w:pPr>
            <w:r>
              <w:rPr>
                <w:b/>
                <w:bCs/>
                <w:color w:val="FFFFFF"/>
                <w:sz w:val="18"/>
                <w:szCs w:val="18"/>
              </w:rPr>
              <w:t xml:space="preserve">Store</w:t>
            </w:r>
          </w:p>
        </w:tc>
        <w:tc>
          <w:tcPr>
            <w:tcW w:type="dxa" w:w="3360"/>
            <w:tcBorders>
              <w:top w:val="single" w:color="BFBFBF" w:sz="1"/>
              <w:left w:val="single" w:color="BFBFBF" w:sz="1"/>
              <w:bottom w:val="single" w:color="BFBFBF" w:sz="1"/>
              <w:right w:val="single" w:color="BFBFBF" w:sz="1"/>
            </w:tcBorders>
            <w:shd w:fill="1F3864" w:val="clear"/>
            <w:tcMar>
              <w:top w:type="dxa" w:w="55"/>
              <w:left w:type="dxa" w:w="100"/>
              <w:bottom w:type="dxa" w:w="55"/>
              <w:right w:type="dxa" w:w="100"/>
            </w:tcMar>
          </w:tcPr>
          <w:p>
            <w:pPr>
              <w:jc w:val="center"/>
            </w:pPr>
            <w:r>
              <w:rPr>
                <w:b/>
                <w:bCs/>
                <w:color w:val="FFFFFF"/>
                <w:sz w:val="18"/>
                <w:szCs w:val="18"/>
              </w:rPr>
              <w:t xml:space="preserve">Corr. with CPI</w:t>
            </w:r>
          </w:p>
        </w:tc>
        <w:tc>
          <w:tcPr>
            <w:tcW w:type="dxa" w:w="3000"/>
            <w:tcBorders>
              <w:top w:val="single" w:color="BFBFBF" w:sz="1"/>
              <w:left w:val="single" w:color="BFBFBF" w:sz="1"/>
              <w:bottom w:val="single" w:color="BFBFBF" w:sz="1"/>
              <w:right w:val="single" w:color="BFBFBF" w:sz="1"/>
            </w:tcBorders>
            <w:shd w:fill="1F3864" w:val="clear"/>
            <w:tcMar>
              <w:top w:type="dxa" w:w="55"/>
              <w:left w:type="dxa" w:w="100"/>
              <w:bottom w:type="dxa" w:w="55"/>
              <w:right w:type="dxa" w:w="100"/>
            </w:tcMar>
          </w:tcPr>
          <w:p>
            <w:pPr>
              <w:jc w:val="center"/>
            </w:pPr>
            <w:r>
              <w:rPr>
                <w:b/>
                <w:bCs/>
                <w:color w:val="FFFFFF"/>
                <w:sz w:val="18"/>
                <w:szCs w:val="18"/>
              </w:rPr>
              <w:t xml:space="preserve">Sensitivity</w:t>
            </w:r>
          </w:p>
        </w:tc>
      </w:tr>
      <w:tr>
        <w:tc>
          <w:tcPr>
            <w:tcW w:type="dxa" w:w="3000"/>
            <w:tcBorders>
              <w:top w:val="single" w:color="BFBFBF" w:sz="1"/>
              <w:left w:val="single" w:color="BFBFBF" w:sz="1"/>
              <w:bottom w:val="single" w:color="BFBFBF" w:sz="1"/>
              <w:right w:val="single" w:color="BFBFBF" w:sz="1"/>
            </w:tcBorders>
            <w:shd w:fill="FFFFFF" w:val="clear"/>
            <w:tcMar>
              <w:top w:type="dxa" w:w="45"/>
              <w:left w:type="dxa" w:w="100"/>
              <w:bottom w:type="dxa" w:w="45"/>
              <w:right w:type="dxa" w:w="100"/>
            </w:tcMar>
            <w:vAlign w:val="center"/>
          </w:tcPr>
          <w:p>
            <w:pPr>
              <w:jc w:val="left"/>
            </w:pPr>
            <w:r>
              <w:rPr>
                <w:b/>
                <w:bCs/>
                <w:sz w:val="17"/>
                <w:szCs w:val="17"/>
              </w:rPr>
              <w:t xml:space="preserve">Store 36</w:t>
            </w:r>
          </w:p>
        </w:tc>
        <w:tc>
          <w:tcPr>
            <w:tcW w:type="dxa" w:w="3360"/>
            <w:tcBorders>
              <w:top w:val="single" w:color="BFBFBF" w:sz="1"/>
              <w:left w:val="single" w:color="BFBFBF" w:sz="1"/>
              <w:bottom w:val="single" w:color="BFBFBF" w:sz="1"/>
              <w:right w:val="single" w:color="BFBFBF" w:sz="1"/>
            </w:tcBorders>
            <w:shd w:fill="FFFFFF" w:val="clear"/>
            <w:tcMar>
              <w:top w:type="dxa" w:w="45"/>
              <w:left w:type="dxa" w:w="100"/>
              <w:bottom w:type="dxa" w:w="45"/>
              <w:right w:type="dxa" w:w="100"/>
            </w:tcMar>
            <w:vAlign w:val="center"/>
          </w:tcPr>
          <w:p>
            <w:pPr>
              <w:jc w:val="center"/>
            </w:pPr>
            <w:r>
              <w:rPr>
                <w:b w:val="false"/>
                <w:bCs w:val="false"/>
                <w:sz w:val="17"/>
                <w:szCs w:val="17"/>
              </w:rPr>
              <w:t xml:space="preserve">−0.92</w:t>
            </w:r>
          </w:p>
        </w:tc>
        <w:tc>
          <w:tcPr>
            <w:tcW w:type="dxa" w:w="3000"/>
            <w:tcBorders>
              <w:top w:val="single" w:color="BFBFBF" w:sz="1"/>
              <w:left w:val="single" w:color="BFBFBF" w:sz="1"/>
              <w:bottom w:val="single" w:color="BFBFBF" w:sz="1"/>
              <w:right w:val="single" w:color="BFBFBF" w:sz="1"/>
            </w:tcBorders>
            <w:shd w:fill="FFFFFF" w:val="clear"/>
            <w:tcMar>
              <w:top w:type="dxa" w:w="45"/>
              <w:left w:type="dxa" w:w="100"/>
              <w:bottom w:type="dxa" w:w="45"/>
              <w:right w:type="dxa" w:w="100"/>
            </w:tcMar>
            <w:vAlign w:val="center"/>
          </w:tcPr>
          <w:p>
            <w:pPr>
              <w:jc w:val="center"/>
            </w:pPr>
            <w:r>
              <w:rPr>
                <w:b w:val="false"/>
                <w:bCs w:val="false"/>
                <w:sz w:val="17"/>
                <w:szCs w:val="17"/>
              </w:rPr>
              <w:t xml:space="preserve">Very high</w:t>
            </w:r>
          </w:p>
        </w:tc>
      </w:tr>
      <w:tr>
        <w:tc>
          <w:tcPr>
            <w:tcW w:type="dxa" w:w="3000"/>
            <w:tcBorders>
              <w:top w:val="single" w:color="BFBFBF" w:sz="1"/>
              <w:left w:val="single" w:color="BFBFBF" w:sz="1"/>
              <w:bottom w:val="single" w:color="BFBFBF" w:sz="1"/>
              <w:right w:val="single" w:color="BFBFBF" w:sz="1"/>
            </w:tcBorders>
            <w:shd w:fill="EEF3FB" w:val="clear"/>
            <w:tcMar>
              <w:top w:type="dxa" w:w="45"/>
              <w:left w:type="dxa" w:w="100"/>
              <w:bottom w:type="dxa" w:w="45"/>
              <w:right w:type="dxa" w:w="100"/>
            </w:tcMar>
            <w:vAlign w:val="center"/>
          </w:tcPr>
          <w:p>
            <w:pPr>
              <w:jc w:val="left"/>
            </w:pPr>
            <w:r>
              <w:rPr>
                <w:b/>
                <w:bCs/>
                <w:sz w:val="17"/>
                <w:szCs w:val="17"/>
              </w:rPr>
              <w:t xml:space="preserve">Store 35</w:t>
            </w:r>
          </w:p>
        </w:tc>
        <w:tc>
          <w:tcPr>
            <w:tcW w:type="dxa" w:w="3360"/>
            <w:tcBorders>
              <w:top w:val="single" w:color="BFBFBF" w:sz="1"/>
              <w:left w:val="single" w:color="BFBFBF" w:sz="1"/>
              <w:bottom w:val="single" w:color="BFBFBF" w:sz="1"/>
              <w:right w:val="single" w:color="BFBFBF" w:sz="1"/>
            </w:tcBorders>
            <w:shd w:fill="EEF3FB" w:val="clear"/>
            <w:tcMar>
              <w:top w:type="dxa" w:w="45"/>
              <w:left w:type="dxa" w:w="100"/>
              <w:bottom w:type="dxa" w:w="45"/>
              <w:right w:type="dxa" w:w="100"/>
            </w:tcMar>
            <w:vAlign w:val="center"/>
          </w:tcPr>
          <w:p>
            <w:pPr>
              <w:jc w:val="center"/>
            </w:pPr>
            <w:r>
              <w:rPr>
                <w:b w:val="false"/>
                <w:bCs w:val="false"/>
                <w:sz w:val="17"/>
                <w:szCs w:val="17"/>
              </w:rPr>
              <w:t xml:space="preserve">−0.42</w:t>
            </w:r>
          </w:p>
        </w:tc>
        <w:tc>
          <w:tcPr>
            <w:tcW w:type="dxa" w:w="3000"/>
            <w:tcBorders>
              <w:top w:val="single" w:color="BFBFBF" w:sz="1"/>
              <w:left w:val="single" w:color="BFBFBF" w:sz="1"/>
              <w:bottom w:val="single" w:color="BFBFBF" w:sz="1"/>
              <w:right w:val="single" w:color="BFBFBF" w:sz="1"/>
            </w:tcBorders>
            <w:shd w:fill="EEF3FB" w:val="clear"/>
            <w:tcMar>
              <w:top w:type="dxa" w:w="45"/>
              <w:left w:type="dxa" w:w="100"/>
              <w:bottom w:type="dxa" w:w="45"/>
              <w:right w:type="dxa" w:w="100"/>
            </w:tcMar>
            <w:vAlign w:val="center"/>
          </w:tcPr>
          <w:p>
            <w:pPr>
              <w:jc w:val="center"/>
            </w:pPr>
            <w:r>
              <w:rPr>
                <w:b w:val="false"/>
                <w:bCs w:val="false"/>
                <w:sz w:val="17"/>
                <w:szCs w:val="17"/>
              </w:rPr>
              <w:t xml:space="preserve">High</w:t>
            </w:r>
          </w:p>
        </w:tc>
      </w:tr>
      <w:tr>
        <w:tc>
          <w:tcPr>
            <w:tcW w:type="dxa" w:w="3000"/>
            <w:tcBorders>
              <w:top w:val="single" w:color="BFBFBF" w:sz="1"/>
              <w:left w:val="single" w:color="BFBFBF" w:sz="1"/>
              <w:bottom w:val="single" w:color="BFBFBF" w:sz="1"/>
              <w:right w:val="single" w:color="BFBFBF" w:sz="1"/>
            </w:tcBorders>
            <w:shd w:fill="FFFFFF" w:val="clear"/>
            <w:tcMar>
              <w:top w:type="dxa" w:w="45"/>
              <w:left w:type="dxa" w:w="100"/>
              <w:bottom w:type="dxa" w:w="45"/>
              <w:right w:type="dxa" w:w="100"/>
            </w:tcMar>
            <w:vAlign w:val="center"/>
          </w:tcPr>
          <w:p>
            <w:pPr>
              <w:jc w:val="left"/>
            </w:pPr>
            <w:r>
              <w:rPr>
                <w:b/>
                <w:bCs/>
                <w:sz w:val="17"/>
                <w:szCs w:val="17"/>
              </w:rPr>
              <w:t xml:space="preserve">Store 14</w:t>
            </w:r>
          </w:p>
        </w:tc>
        <w:tc>
          <w:tcPr>
            <w:tcW w:type="dxa" w:w="3360"/>
            <w:tcBorders>
              <w:top w:val="single" w:color="BFBFBF" w:sz="1"/>
              <w:left w:val="single" w:color="BFBFBF" w:sz="1"/>
              <w:bottom w:val="single" w:color="BFBFBF" w:sz="1"/>
              <w:right w:val="single" w:color="BFBFBF" w:sz="1"/>
            </w:tcBorders>
            <w:shd w:fill="FFFFFF" w:val="clear"/>
            <w:tcMar>
              <w:top w:type="dxa" w:w="45"/>
              <w:left w:type="dxa" w:w="100"/>
              <w:bottom w:type="dxa" w:w="45"/>
              <w:right w:type="dxa" w:w="100"/>
            </w:tcMar>
            <w:vAlign w:val="center"/>
          </w:tcPr>
          <w:p>
            <w:pPr>
              <w:jc w:val="center"/>
            </w:pPr>
            <w:r>
              <w:rPr>
                <w:b w:val="false"/>
                <w:bCs w:val="false"/>
                <w:sz w:val="17"/>
                <w:szCs w:val="17"/>
              </w:rPr>
              <w:t xml:space="preserve">−0.42</w:t>
            </w:r>
          </w:p>
        </w:tc>
        <w:tc>
          <w:tcPr>
            <w:tcW w:type="dxa" w:w="3000"/>
            <w:tcBorders>
              <w:top w:val="single" w:color="BFBFBF" w:sz="1"/>
              <w:left w:val="single" w:color="BFBFBF" w:sz="1"/>
              <w:bottom w:val="single" w:color="BFBFBF" w:sz="1"/>
              <w:right w:val="single" w:color="BFBFBF" w:sz="1"/>
            </w:tcBorders>
            <w:shd w:fill="FFFFFF" w:val="clear"/>
            <w:tcMar>
              <w:top w:type="dxa" w:w="45"/>
              <w:left w:type="dxa" w:w="100"/>
              <w:bottom w:type="dxa" w:w="45"/>
              <w:right w:type="dxa" w:w="100"/>
            </w:tcMar>
            <w:vAlign w:val="center"/>
          </w:tcPr>
          <w:p>
            <w:pPr>
              <w:jc w:val="center"/>
            </w:pPr>
            <w:r>
              <w:rPr>
                <w:b w:val="false"/>
                <w:bCs w:val="false"/>
                <w:sz w:val="17"/>
                <w:szCs w:val="17"/>
              </w:rPr>
              <w:t xml:space="preserve">High</w:t>
            </w:r>
          </w:p>
        </w:tc>
      </w:tr>
      <w:tr>
        <w:tc>
          <w:tcPr>
            <w:tcW w:type="dxa" w:w="3000"/>
            <w:tcBorders>
              <w:top w:val="single" w:color="BFBFBF" w:sz="1"/>
              <w:left w:val="single" w:color="BFBFBF" w:sz="1"/>
              <w:bottom w:val="single" w:color="BFBFBF" w:sz="1"/>
              <w:right w:val="single" w:color="BFBFBF" w:sz="1"/>
            </w:tcBorders>
            <w:shd w:fill="EEF3FB" w:val="clear"/>
            <w:tcMar>
              <w:top w:type="dxa" w:w="45"/>
              <w:left w:type="dxa" w:w="100"/>
              <w:bottom w:type="dxa" w:w="45"/>
              <w:right w:type="dxa" w:w="100"/>
            </w:tcMar>
            <w:vAlign w:val="center"/>
          </w:tcPr>
          <w:p>
            <w:pPr>
              <w:jc w:val="left"/>
            </w:pPr>
            <w:r>
              <w:rPr>
                <w:b/>
                <w:bCs/>
                <w:sz w:val="17"/>
                <w:szCs w:val="17"/>
              </w:rPr>
              <w:t xml:space="preserve">Store 30</w:t>
            </w:r>
          </w:p>
        </w:tc>
        <w:tc>
          <w:tcPr>
            <w:tcW w:type="dxa" w:w="3360"/>
            <w:tcBorders>
              <w:top w:val="single" w:color="BFBFBF" w:sz="1"/>
              <w:left w:val="single" w:color="BFBFBF" w:sz="1"/>
              <w:bottom w:val="single" w:color="BFBFBF" w:sz="1"/>
              <w:right w:val="single" w:color="BFBFBF" w:sz="1"/>
            </w:tcBorders>
            <w:shd w:fill="EEF3FB" w:val="clear"/>
            <w:tcMar>
              <w:top w:type="dxa" w:w="45"/>
              <w:left w:type="dxa" w:w="100"/>
              <w:bottom w:type="dxa" w:w="45"/>
              <w:right w:type="dxa" w:w="100"/>
            </w:tcMar>
            <w:vAlign w:val="center"/>
          </w:tcPr>
          <w:p>
            <w:pPr>
              <w:jc w:val="center"/>
            </w:pPr>
            <w:r>
              <w:rPr>
                <w:b w:val="false"/>
                <w:bCs w:val="false"/>
                <w:sz w:val="17"/>
                <w:szCs w:val="17"/>
              </w:rPr>
              <w:t xml:space="preserve">−0.30</w:t>
            </w:r>
          </w:p>
        </w:tc>
        <w:tc>
          <w:tcPr>
            <w:tcW w:type="dxa" w:w="3000"/>
            <w:tcBorders>
              <w:top w:val="single" w:color="BFBFBF" w:sz="1"/>
              <w:left w:val="single" w:color="BFBFBF" w:sz="1"/>
              <w:bottom w:val="single" w:color="BFBFBF" w:sz="1"/>
              <w:right w:val="single" w:color="BFBFBF" w:sz="1"/>
            </w:tcBorders>
            <w:shd w:fill="EEF3FB" w:val="clear"/>
            <w:tcMar>
              <w:top w:type="dxa" w:w="45"/>
              <w:left w:type="dxa" w:w="100"/>
              <w:bottom w:type="dxa" w:w="45"/>
              <w:right w:type="dxa" w:w="100"/>
            </w:tcMar>
            <w:vAlign w:val="center"/>
          </w:tcPr>
          <w:p>
            <w:pPr>
              <w:jc w:val="center"/>
            </w:pPr>
            <w:r>
              <w:rPr>
                <w:b w:val="false"/>
                <w:bCs w:val="false"/>
                <w:sz w:val="17"/>
                <w:szCs w:val="17"/>
              </w:rPr>
              <w:t xml:space="preserve">Moderate</w:t>
            </w:r>
          </w:p>
        </w:tc>
      </w:tr>
    </w:tbl>
    <w:p>
      <w:pPr>
        <w:spacing w:after="120" w:line="276"/>
        <w:jc w:val="both"/>
      </w:pPr>
      <w:r>
        <w:rPr>
          <w:b/>
          <w:bCs/>
        </w:rPr>
        <w:t xml:space="preserve">Answer: </w:t>
      </w:r>
      <w:r>
        <w:t xml:space="preserve">CPI matters as a store-level factor rather than a chain-wide one. Stores 36, 35 and 14 are strongly price-sensitive, pointing to more price-conscious customer bases.</w:t>
      </w:r>
    </w:p>
    <w:p>
      <w:pPr>
        <w:pStyle w:val="Heading2"/>
        <w:spacing w:after="90" w:before="180"/>
      </w:pPr>
      <w:r>
        <w:t xml:space="preserve">(e) Top-performing stores</w:t>
      </w:r>
    </w:p>
    <w:p>
      <w:pPr>
        <w:spacing w:after="50" w:before="70"/>
        <w:jc w:val="center"/>
      </w:pPr>
      <w:r>
        <w:drawing>
          <wp:inline distT="0" distB="0" distL="0" distR="0">
            <wp:extent cx="5715000" cy="2200275"/>
            <wp:effectExtent t="0" r="0" b="0" l="0"/>
            <wp:docPr id="1" name="fig7_topstores.png" descr="fig7_topstores.png" title="fig7_topstor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200275"/>
                    </a:xfrm>
                    <a:prstGeom prst="rect">
                      <a:avLst/>
                    </a:prstGeom>
                  </pic:spPr>
                </pic:pic>
              </a:graphicData>
            </a:graphic>
          </wp:inline>
        </w:drawing>
      </w:r>
    </w:p>
    <w:p>
      <w:pPr>
        <w:spacing w:after="150"/>
        <w:jc w:val="center"/>
      </w:pPr>
      <w:r>
        <w:rPr>
          <w:i/>
          <w:iCs/>
          <w:color w:val="595959"/>
          <w:sz w:val="17"/>
          <w:szCs w:val="17"/>
        </w:rPr>
        <w:t xml:space="preserve">Figure 7 — Average weekly sales by store (green = top 5, red = bottom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BFBFBF" w:sz="1"/>
              <w:left w:val="single" w:color="BFBFBF" w:sz="1"/>
              <w:bottom w:val="single" w:color="BFBFBF" w:sz="1"/>
              <w:right w:val="single" w:color="BFBFBF" w:sz="1"/>
            </w:tcBorders>
            <w:shd w:fill="1F3864" w:val="clear"/>
            <w:tcMar>
              <w:top w:type="dxa" w:w="55"/>
              <w:left w:type="dxa" w:w="100"/>
              <w:bottom w:type="dxa" w:w="55"/>
              <w:right w:type="dxa" w:w="100"/>
            </w:tcMar>
          </w:tcPr>
          <w:p>
            <w:pPr>
              <w:jc w:val="left"/>
            </w:pPr>
            <w:r>
              <w:rPr>
                <w:b/>
                <w:bCs/>
                <w:color w:val="FFFFFF"/>
                <w:sz w:val="18"/>
                <w:szCs w:val="18"/>
              </w:rPr>
              <w:t xml:space="preserve">Store</w:t>
            </w:r>
          </w:p>
        </w:tc>
        <w:tc>
          <w:tcPr>
            <w:tcW w:type="dxa" w:w="3180"/>
            <w:tcBorders>
              <w:top w:val="single" w:color="BFBFBF" w:sz="1"/>
              <w:left w:val="single" w:color="BFBFBF" w:sz="1"/>
              <w:bottom w:val="single" w:color="BFBFBF" w:sz="1"/>
              <w:right w:val="single" w:color="BFBFBF" w:sz="1"/>
            </w:tcBorders>
            <w:shd w:fill="1F3864" w:val="clear"/>
            <w:tcMar>
              <w:top w:type="dxa" w:w="55"/>
              <w:left w:type="dxa" w:w="100"/>
              <w:bottom w:type="dxa" w:w="55"/>
              <w:right w:type="dxa" w:w="100"/>
            </w:tcMar>
          </w:tcPr>
          <w:p>
            <w:pPr>
              <w:jc w:val="center"/>
            </w:pPr>
            <w:r>
              <w:rPr>
                <w:b/>
                <w:bCs/>
                <w:color w:val="FFFFFF"/>
                <w:sz w:val="18"/>
                <w:szCs w:val="18"/>
              </w:rPr>
              <w:t xml:space="preserve">Avg Weekly Sales</w:t>
            </w:r>
          </w:p>
        </w:tc>
        <w:tc>
          <w:tcPr>
            <w:tcW w:type="dxa" w:w="3180"/>
            <w:tcBorders>
              <w:top w:val="single" w:color="BFBFBF" w:sz="1"/>
              <w:left w:val="single" w:color="BFBFBF" w:sz="1"/>
              <w:bottom w:val="single" w:color="BFBFBF" w:sz="1"/>
              <w:right w:val="single" w:color="BFBFBF" w:sz="1"/>
            </w:tcBorders>
            <w:shd w:fill="1F3864" w:val="clear"/>
            <w:tcMar>
              <w:top w:type="dxa" w:w="55"/>
              <w:left w:type="dxa" w:w="100"/>
              <w:bottom w:type="dxa" w:w="55"/>
              <w:right w:type="dxa" w:w="100"/>
            </w:tcMar>
          </w:tcPr>
          <w:p>
            <w:pPr>
              <w:jc w:val="center"/>
            </w:pPr>
            <w:r>
              <w:rPr>
                <w:b/>
                <w:bCs/>
                <w:color w:val="FFFFFF"/>
                <w:sz w:val="18"/>
                <w:szCs w:val="18"/>
              </w:rPr>
              <w:t xml:space="preserve">Total Sales (3 yrs)</w:t>
            </w:r>
          </w:p>
        </w:tc>
      </w:tr>
      <w:tr>
        <w:tc>
          <w:tcPr>
            <w:tcW w:type="dxa" w:w="3000"/>
            <w:tcBorders>
              <w:top w:val="single" w:color="BFBFBF" w:sz="1"/>
              <w:left w:val="single" w:color="BFBFBF" w:sz="1"/>
              <w:bottom w:val="single" w:color="BFBFBF" w:sz="1"/>
              <w:right w:val="single" w:color="BFBFBF" w:sz="1"/>
            </w:tcBorders>
            <w:shd w:fill="FFFFFF" w:val="clear"/>
            <w:tcMar>
              <w:top w:type="dxa" w:w="45"/>
              <w:left w:type="dxa" w:w="100"/>
              <w:bottom w:type="dxa" w:w="45"/>
              <w:right w:type="dxa" w:w="100"/>
            </w:tcMar>
            <w:vAlign w:val="center"/>
          </w:tcPr>
          <w:p>
            <w:pPr>
              <w:jc w:val="left"/>
            </w:pPr>
            <w:r>
              <w:rPr>
                <w:b/>
                <w:bCs/>
                <w:sz w:val="17"/>
                <w:szCs w:val="17"/>
              </w:rPr>
              <w:t xml:space="preserve">Store 20</w:t>
            </w:r>
          </w:p>
        </w:tc>
        <w:tc>
          <w:tcPr>
            <w:tcW w:type="dxa" w:w="3180"/>
            <w:tcBorders>
              <w:top w:val="single" w:color="BFBFBF" w:sz="1"/>
              <w:left w:val="single" w:color="BFBFBF" w:sz="1"/>
              <w:bottom w:val="single" w:color="BFBFBF" w:sz="1"/>
              <w:right w:val="single" w:color="BFBFBF" w:sz="1"/>
            </w:tcBorders>
            <w:shd w:fill="FFFFFF" w:val="clear"/>
            <w:tcMar>
              <w:top w:type="dxa" w:w="45"/>
              <w:left w:type="dxa" w:w="100"/>
              <w:bottom w:type="dxa" w:w="45"/>
              <w:right w:type="dxa" w:w="100"/>
            </w:tcMar>
            <w:vAlign w:val="center"/>
          </w:tcPr>
          <w:p>
            <w:pPr>
              <w:jc w:val="center"/>
            </w:pPr>
            <w:r>
              <w:rPr>
                <w:b w:val="false"/>
                <w:bCs w:val="false"/>
                <w:sz w:val="17"/>
                <w:szCs w:val="17"/>
              </w:rPr>
              <w:t xml:space="preserve">$2,107,677</w:t>
            </w:r>
          </w:p>
        </w:tc>
        <w:tc>
          <w:tcPr>
            <w:tcW w:type="dxa" w:w="3180"/>
            <w:tcBorders>
              <w:top w:val="single" w:color="BFBFBF" w:sz="1"/>
              <w:left w:val="single" w:color="BFBFBF" w:sz="1"/>
              <w:bottom w:val="single" w:color="BFBFBF" w:sz="1"/>
              <w:right w:val="single" w:color="BFBFBF" w:sz="1"/>
            </w:tcBorders>
            <w:shd w:fill="FFFFFF" w:val="clear"/>
            <w:tcMar>
              <w:top w:type="dxa" w:w="45"/>
              <w:left w:type="dxa" w:w="100"/>
              <w:bottom w:type="dxa" w:w="45"/>
              <w:right w:type="dxa" w:w="100"/>
            </w:tcMar>
            <w:vAlign w:val="center"/>
          </w:tcPr>
          <w:p>
            <w:pPr>
              <w:jc w:val="center"/>
            </w:pPr>
            <w:r>
              <w:rPr>
                <w:b w:val="false"/>
                <w:bCs w:val="false"/>
                <w:sz w:val="17"/>
                <w:szCs w:val="17"/>
              </w:rPr>
              <w:t xml:space="preserve">$301,397,792</w:t>
            </w:r>
          </w:p>
        </w:tc>
      </w:tr>
      <w:tr>
        <w:tc>
          <w:tcPr>
            <w:tcW w:type="dxa" w:w="3000"/>
            <w:tcBorders>
              <w:top w:val="single" w:color="BFBFBF" w:sz="1"/>
              <w:left w:val="single" w:color="BFBFBF" w:sz="1"/>
              <w:bottom w:val="single" w:color="BFBFBF" w:sz="1"/>
              <w:right w:val="single" w:color="BFBFBF" w:sz="1"/>
            </w:tcBorders>
            <w:shd w:fill="EEF3FB" w:val="clear"/>
            <w:tcMar>
              <w:top w:type="dxa" w:w="45"/>
              <w:left w:type="dxa" w:w="100"/>
              <w:bottom w:type="dxa" w:w="45"/>
              <w:right w:type="dxa" w:w="100"/>
            </w:tcMar>
            <w:vAlign w:val="center"/>
          </w:tcPr>
          <w:p>
            <w:pPr>
              <w:jc w:val="left"/>
            </w:pPr>
            <w:r>
              <w:rPr>
                <w:b/>
                <w:bCs/>
                <w:sz w:val="17"/>
                <w:szCs w:val="17"/>
              </w:rPr>
              <w:t xml:space="preserve">Store 4</w:t>
            </w:r>
          </w:p>
        </w:tc>
        <w:tc>
          <w:tcPr>
            <w:tcW w:type="dxa" w:w="3180"/>
            <w:tcBorders>
              <w:top w:val="single" w:color="BFBFBF" w:sz="1"/>
              <w:left w:val="single" w:color="BFBFBF" w:sz="1"/>
              <w:bottom w:val="single" w:color="BFBFBF" w:sz="1"/>
              <w:right w:val="single" w:color="BFBFBF" w:sz="1"/>
            </w:tcBorders>
            <w:shd w:fill="EEF3FB" w:val="clear"/>
            <w:tcMar>
              <w:top w:type="dxa" w:w="45"/>
              <w:left w:type="dxa" w:w="100"/>
              <w:bottom w:type="dxa" w:w="45"/>
              <w:right w:type="dxa" w:w="100"/>
            </w:tcMar>
            <w:vAlign w:val="center"/>
          </w:tcPr>
          <w:p>
            <w:pPr>
              <w:jc w:val="center"/>
            </w:pPr>
            <w:r>
              <w:rPr>
                <w:b w:val="false"/>
                <w:bCs w:val="false"/>
                <w:sz w:val="17"/>
                <w:szCs w:val="17"/>
              </w:rPr>
              <w:t xml:space="preserve">$2,094,713</w:t>
            </w:r>
          </w:p>
        </w:tc>
        <w:tc>
          <w:tcPr>
            <w:tcW w:type="dxa" w:w="3180"/>
            <w:tcBorders>
              <w:top w:val="single" w:color="BFBFBF" w:sz="1"/>
              <w:left w:val="single" w:color="BFBFBF" w:sz="1"/>
              <w:bottom w:val="single" w:color="BFBFBF" w:sz="1"/>
              <w:right w:val="single" w:color="BFBFBF" w:sz="1"/>
            </w:tcBorders>
            <w:shd w:fill="EEF3FB" w:val="clear"/>
            <w:tcMar>
              <w:top w:type="dxa" w:w="45"/>
              <w:left w:type="dxa" w:w="100"/>
              <w:bottom w:type="dxa" w:w="45"/>
              <w:right w:type="dxa" w:w="100"/>
            </w:tcMar>
            <w:vAlign w:val="center"/>
          </w:tcPr>
          <w:p>
            <w:pPr>
              <w:jc w:val="center"/>
            </w:pPr>
            <w:r>
              <w:rPr>
                <w:b w:val="false"/>
                <w:bCs w:val="false"/>
                <w:sz w:val="17"/>
                <w:szCs w:val="17"/>
              </w:rPr>
              <w:t xml:space="preserve">$299,543,953</w:t>
            </w:r>
          </w:p>
        </w:tc>
      </w:tr>
      <w:tr>
        <w:tc>
          <w:tcPr>
            <w:tcW w:type="dxa" w:w="3000"/>
            <w:tcBorders>
              <w:top w:val="single" w:color="BFBFBF" w:sz="1"/>
              <w:left w:val="single" w:color="BFBFBF" w:sz="1"/>
              <w:bottom w:val="single" w:color="BFBFBF" w:sz="1"/>
              <w:right w:val="single" w:color="BFBFBF" w:sz="1"/>
            </w:tcBorders>
            <w:shd w:fill="FFFFFF" w:val="clear"/>
            <w:tcMar>
              <w:top w:type="dxa" w:w="45"/>
              <w:left w:type="dxa" w:w="100"/>
              <w:bottom w:type="dxa" w:w="45"/>
              <w:right w:type="dxa" w:w="100"/>
            </w:tcMar>
            <w:vAlign w:val="center"/>
          </w:tcPr>
          <w:p>
            <w:pPr>
              <w:jc w:val="left"/>
            </w:pPr>
            <w:r>
              <w:rPr>
                <w:b/>
                <w:bCs/>
                <w:sz w:val="17"/>
                <w:szCs w:val="17"/>
              </w:rPr>
              <w:t xml:space="preserve">Store 14</w:t>
            </w:r>
          </w:p>
        </w:tc>
        <w:tc>
          <w:tcPr>
            <w:tcW w:type="dxa" w:w="3180"/>
            <w:tcBorders>
              <w:top w:val="single" w:color="BFBFBF" w:sz="1"/>
              <w:left w:val="single" w:color="BFBFBF" w:sz="1"/>
              <w:bottom w:val="single" w:color="BFBFBF" w:sz="1"/>
              <w:right w:val="single" w:color="BFBFBF" w:sz="1"/>
            </w:tcBorders>
            <w:shd w:fill="FFFFFF" w:val="clear"/>
            <w:tcMar>
              <w:top w:type="dxa" w:w="45"/>
              <w:left w:type="dxa" w:w="100"/>
              <w:bottom w:type="dxa" w:w="45"/>
              <w:right w:type="dxa" w:w="100"/>
            </w:tcMar>
            <w:vAlign w:val="center"/>
          </w:tcPr>
          <w:p>
            <w:pPr>
              <w:jc w:val="center"/>
            </w:pPr>
            <w:r>
              <w:rPr>
                <w:b w:val="false"/>
                <w:bCs w:val="false"/>
                <w:sz w:val="17"/>
                <w:szCs w:val="17"/>
              </w:rPr>
              <w:t xml:space="preserve">$2,020,978</w:t>
            </w:r>
          </w:p>
        </w:tc>
        <w:tc>
          <w:tcPr>
            <w:tcW w:type="dxa" w:w="3180"/>
            <w:tcBorders>
              <w:top w:val="single" w:color="BFBFBF" w:sz="1"/>
              <w:left w:val="single" w:color="BFBFBF" w:sz="1"/>
              <w:bottom w:val="single" w:color="BFBFBF" w:sz="1"/>
              <w:right w:val="single" w:color="BFBFBF" w:sz="1"/>
            </w:tcBorders>
            <w:shd w:fill="FFFFFF" w:val="clear"/>
            <w:tcMar>
              <w:top w:type="dxa" w:w="45"/>
              <w:left w:type="dxa" w:w="100"/>
              <w:bottom w:type="dxa" w:w="45"/>
              <w:right w:type="dxa" w:w="100"/>
            </w:tcMar>
            <w:vAlign w:val="center"/>
          </w:tcPr>
          <w:p>
            <w:pPr>
              <w:jc w:val="center"/>
            </w:pPr>
            <w:r>
              <w:rPr>
                <w:b w:val="false"/>
                <w:bCs w:val="false"/>
                <w:sz w:val="17"/>
                <w:szCs w:val="17"/>
              </w:rPr>
              <w:t xml:space="preserve">$288,999,911</w:t>
            </w:r>
          </w:p>
        </w:tc>
      </w:tr>
      <w:tr>
        <w:tc>
          <w:tcPr>
            <w:tcW w:type="dxa" w:w="3000"/>
            <w:tcBorders>
              <w:top w:val="single" w:color="BFBFBF" w:sz="1"/>
              <w:left w:val="single" w:color="BFBFBF" w:sz="1"/>
              <w:bottom w:val="single" w:color="BFBFBF" w:sz="1"/>
              <w:right w:val="single" w:color="BFBFBF" w:sz="1"/>
            </w:tcBorders>
            <w:shd w:fill="EEF3FB" w:val="clear"/>
            <w:tcMar>
              <w:top w:type="dxa" w:w="45"/>
              <w:left w:type="dxa" w:w="100"/>
              <w:bottom w:type="dxa" w:w="45"/>
              <w:right w:type="dxa" w:w="100"/>
            </w:tcMar>
            <w:vAlign w:val="center"/>
          </w:tcPr>
          <w:p>
            <w:pPr>
              <w:jc w:val="left"/>
            </w:pPr>
            <w:r>
              <w:rPr>
                <w:b/>
                <w:bCs/>
                <w:sz w:val="17"/>
                <w:szCs w:val="17"/>
              </w:rPr>
              <w:t xml:space="preserve">Store 13</w:t>
            </w:r>
          </w:p>
        </w:tc>
        <w:tc>
          <w:tcPr>
            <w:tcW w:type="dxa" w:w="3180"/>
            <w:tcBorders>
              <w:top w:val="single" w:color="BFBFBF" w:sz="1"/>
              <w:left w:val="single" w:color="BFBFBF" w:sz="1"/>
              <w:bottom w:val="single" w:color="BFBFBF" w:sz="1"/>
              <w:right w:val="single" w:color="BFBFBF" w:sz="1"/>
            </w:tcBorders>
            <w:shd w:fill="EEF3FB" w:val="clear"/>
            <w:tcMar>
              <w:top w:type="dxa" w:w="45"/>
              <w:left w:type="dxa" w:w="100"/>
              <w:bottom w:type="dxa" w:w="45"/>
              <w:right w:type="dxa" w:w="100"/>
            </w:tcMar>
            <w:vAlign w:val="center"/>
          </w:tcPr>
          <w:p>
            <w:pPr>
              <w:jc w:val="center"/>
            </w:pPr>
            <w:r>
              <w:rPr>
                <w:b w:val="false"/>
                <w:bCs w:val="false"/>
                <w:sz w:val="17"/>
                <w:szCs w:val="17"/>
              </w:rPr>
              <w:t xml:space="preserve">$2,003,620</w:t>
            </w:r>
          </w:p>
        </w:tc>
        <w:tc>
          <w:tcPr>
            <w:tcW w:type="dxa" w:w="3180"/>
            <w:tcBorders>
              <w:top w:val="single" w:color="BFBFBF" w:sz="1"/>
              <w:left w:val="single" w:color="BFBFBF" w:sz="1"/>
              <w:bottom w:val="single" w:color="BFBFBF" w:sz="1"/>
              <w:right w:val="single" w:color="BFBFBF" w:sz="1"/>
            </w:tcBorders>
            <w:shd w:fill="EEF3FB" w:val="clear"/>
            <w:tcMar>
              <w:top w:type="dxa" w:w="45"/>
              <w:left w:type="dxa" w:w="100"/>
              <w:bottom w:type="dxa" w:w="45"/>
              <w:right w:type="dxa" w:w="100"/>
            </w:tcMar>
            <w:vAlign w:val="center"/>
          </w:tcPr>
          <w:p>
            <w:pPr>
              <w:jc w:val="center"/>
            </w:pPr>
            <w:r>
              <w:rPr>
                <w:b w:val="false"/>
                <w:bCs w:val="false"/>
                <w:sz w:val="17"/>
                <w:szCs w:val="17"/>
              </w:rPr>
              <w:t xml:space="preserve">$286,517,704</w:t>
            </w:r>
          </w:p>
        </w:tc>
      </w:tr>
      <w:tr>
        <w:tc>
          <w:tcPr>
            <w:tcW w:type="dxa" w:w="3000"/>
            <w:tcBorders>
              <w:top w:val="single" w:color="BFBFBF" w:sz="1"/>
              <w:left w:val="single" w:color="BFBFBF" w:sz="1"/>
              <w:bottom w:val="single" w:color="BFBFBF" w:sz="1"/>
              <w:right w:val="single" w:color="BFBFBF" w:sz="1"/>
            </w:tcBorders>
            <w:shd w:fill="FFFFFF" w:val="clear"/>
            <w:tcMar>
              <w:top w:type="dxa" w:w="45"/>
              <w:left w:type="dxa" w:w="100"/>
              <w:bottom w:type="dxa" w:w="45"/>
              <w:right w:type="dxa" w:w="100"/>
            </w:tcMar>
            <w:vAlign w:val="center"/>
          </w:tcPr>
          <w:p>
            <w:pPr>
              <w:jc w:val="left"/>
            </w:pPr>
            <w:r>
              <w:rPr>
                <w:b/>
                <w:bCs/>
                <w:sz w:val="17"/>
                <w:szCs w:val="17"/>
              </w:rPr>
              <w:t xml:space="preserve">Store 2</w:t>
            </w:r>
          </w:p>
        </w:tc>
        <w:tc>
          <w:tcPr>
            <w:tcW w:type="dxa" w:w="3180"/>
            <w:tcBorders>
              <w:top w:val="single" w:color="BFBFBF" w:sz="1"/>
              <w:left w:val="single" w:color="BFBFBF" w:sz="1"/>
              <w:bottom w:val="single" w:color="BFBFBF" w:sz="1"/>
              <w:right w:val="single" w:color="BFBFBF" w:sz="1"/>
            </w:tcBorders>
            <w:shd w:fill="FFFFFF" w:val="clear"/>
            <w:tcMar>
              <w:top w:type="dxa" w:w="45"/>
              <w:left w:type="dxa" w:w="100"/>
              <w:bottom w:type="dxa" w:w="45"/>
              <w:right w:type="dxa" w:w="100"/>
            </w:tcMar>
            <w:vAlign w:val="center"/>
          </w:tcPr>
          <w:p>
            <w:pPr>
              <w:jc w:val="center"/>
            </w:pPr>
            <w:r>
              <w:rPr>
                <w:b w:val="false"/>
                <w:bCs w:val="false"/>
                <w:sz w:val="17"/>
                <w:szCs w:val="17"/>
              </w:rPr>
              <w:t xml:space="preserve">$1,925,751</w:t>
            </w:r>
          </w:p>
        </w:tc>
        <w:tc>
          <w:tcPr>
            <w:tcW w:type="dxa" w:w="3180"/>
            <w:tcBorders>
              <w:top w:val="single" w:color="BFBFBF" w:sz="1"/>
              <w:left w:val="single" w:color="BFBFBF" w:sz="1"/>
              <w:bottom w:val="single" w:color="BFBFBF" w:sz="1"/>
              <w:right w:val="single" w:color="BFBFBF" w:sz="1"/>
            </w:tcBorders>
            <w:shd w:fill="FFFFFF" w:val="clear"/>
            <w:tcMar>
              <w:top w:type="dxa" w:w="45"/>
              <w:left w:type="dxa" w:w="100"/>
              <w:bottom w:type="dxa" w:w="45"/>
              <w:right w:type="dxa" w:w="100"/>
            </w:tcMar>
            <w:vAlign w:val="center"/>
          </w:tcPr>
          <w:p>
            <w:pPr>
              <w:jc w:val="center"/>
            </w:pPr>
            <w:r>
              <w:rPr>
                <w:b w:val="false"/>
                <w:bCs w:val="false"/>
                <w:sz w:val="17"/>
                <w:szCs w:val="17"/>
              </w:rPr>
              <w:t xml:space="preserve">$275,382,441</w:t>
            </w:r>
          </w:p>
        </w:tc>
      </w:tr>
    </w:tbl>
    <w:p>
      <w:pPr>
        <w:spacing w:after="120" w:line="276"/>
        <w:jc w:val="both"/>
      </w:pPr>
      <w:r>
        <w:rPr>
          <w:b/>
          <w:bCs/>
        </w:rPr>
        <w:t xml:space="preserve">Answer: </w:t>
      </w:r>
      <w:r>
        <w:t xml:space="preserve">The top performers are 20, 4, 14, 13 and 2. Store 20 leads with ~$301M total. These flagships should be prioritised for stock availability, especially in Q4.</w:t>
      </w:r>
    </w:p>
    <w:p>
      <w:pPr>
        <w:pStyle w:val="Heading2"/>
        <w:spacing w:after="90" w:before="180"/>
      </w:pPr>
      <w:r>
        <w:t xml:space="preserve">(f) Worst-performing store and the gap vs the best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BFBFBF" w:sz="1"/>
              <w:left w:val="single" w:color="BFBFBF" w:sz="1"/>
              <w:bottom w:val="single" w:color="BFBFBF" w:sz="1"/>
              <w:right w:val="single" w:color="BFBFBF" w:sz="1"/>
            </w:tcBorders>
            <w:shd w:fill="1F3864" w:val="clear"/>
            <w:tcMar>
              <w:top w:type="dxa" w:w="55"/>
              <w:left w:type="dxa" w:w="100"/>
              <w:bottom w:type="dxa" w:w="55"/>
              <w:right w:type="dxa" w:w="100"/>
            </w:tcMar>
          </w:tcPr>
          <w:p>
            <w:pPr>
              <w:jc w:val="left"/>
            </w:pPr>
            <w:r>
              <w:rPr>
                <w:b/>
                <w:bCs/>
                <w:color w:val="FFFFFF"/>
                <w:sz w:val="18"/>
                <w:szCs w:val="18"/>
              </w:rPr>
              <w:t xml:space="preserve">Store</w:t>
            </w:r>
          </w:p>
        </w:tc>
        <w:tc>
          <w:tcPr>
            <w:tcW w:type="dxa" w:w="3180"/>
            <w:tcBorders>
              <w:top w:val="single" w:color="BFBFBF" w:sz="1"/>
              <w:left w:val="single" w:color="BFBFBF" w:sz="1"/>
              <w:bottom w:val="single" w:color="BFBFBF" w:sz="1"/>
              <w:right w:val="single" w:color="BFBFBF" w:sz="1"/>
            </w:tcBorders>
            <w:shd w:fill="1F3864" w:val="clear"/>
            <w:tcMar>
              <w:top w:type="dxa" w:w="55"/>
              <w:left w:type="dxa" w:w="100"/>
              <w:bottom w:type="dxa" w:w="55"/>
              <w:right w:type="dxa" w:w="100"/>
            </w:tcMar>
          </w:tcPr>
          <w:p>
            <w:pPr>
              <w:jc w:val="center"/>
            </w:pPr>
            <w:r>
              <w:rPr>
                <w:b/>
                <w:bCs/>
                <w:color w:val="FFFFFF"/>
                <w:sz w:val="18"/>
                <w:szCs w:val="18"/>
              </w:rPr>
              <w:t xml:space="preserve">Avg Weekly Sales</w:t>
            </w:r>
          </w:p>
        </w:tc>
        <w:tc>
          <w:tcPr>
            <w:tcW w:type="dxa" w:w="3180"/>
            <w:tcBorders>
              <w:top w:val="single" w:color="BFBFBF" w:sz="1"/>
              <w:left w:val="single" w:color="BFBFBF" w:sz="1"/>
              <w:bottom w:val="single" w:color="BFBFBF" w:sz="1"/>
              <w:right w:val="single" w:color="BFBFBF" w:sz="1"/>
            </w:tcBorders>
            <w:shd w:fill="1F3864" w:val="clear"/>
            <w:tcMar>
              <w:top w:type="dxa" w:w="55"/>
              <w:left w:type="dxa" w:w="100"/>
              <w:bottom w:type="dxa" w:w="55"/>
              <w:right w:type="dxa" w:w="100"/>
            </w:tcMar>
          </w:tcPr>
          <w:p>
            <w:pPr>
              <w:jc w:val="center"/>
            </w:pPr>
            <w:r>
              <w:rPr>
                <w:b/>
                <w:bCs/>
                <w:color w:val="FFFFFF"/>
                <w:sz w:val="18"/>
                <w:szCs w:val="18"/>
              </w:rPr>
              <w:t xml:space="preserve">Total Sales (3 yrs)</w:t>
            </w:r>
          </w:p>
        </w:tc>
      </w:tr>
      <w:tr>
        <w:tc>
          <w:tcPr>
            <w:tcW w:type="dxa" w:w="3000"/>
            <w:tcBorders>
              <w:top w:val="single" w:color="BFBFBF" w:sz="1"/>
              <w:left w:val="single" w:color="BFBFBF" w:sz="1"/>
              <w:bottom w:val="single" w:color="BFBFBF" w:sz="1"/>
              <w:right w:val="single" w:color="BFBFBF" w:sz="1"/>
            </w:tcBorders>
            <w:shd w:fill="FFFFFF" w:val="clear"/>
            <w:tcMar>
              <w:top w:type="dxa" w:w="45"/>
              <w:left w:type="dxa" w:w="100"/>
              <w:bottom w:type="dxa" w:w="45"/>
              <w:right w:type="dxa" w:w="100"/>
            </w:tcMar>
            <w:vAlign w:val="center"/>
          </w:tcPr>
          <w:p>
            <w:pPr>
              <w:jc w:val="left"/>
            </w:pPr>
            <w:r>
              <w:rPr>
                <w:b/>
                <w:bCs/>
                <w:sz w:val="17"/>
                <w:szCs w:val="17"/>
              </w:rPr>
              <w:t xml:space="preserve">Store 33 (worst)</w:t>
            </w:r>
          </w:p>
        </w:tc>
        <w:tc>
          <w:tcPr>
            <w:tcW w:type="dxa" w:w="3180"/>
            <w:tcBorders>
              <w:top w:val="single" w:color="BFBFBF" w:sz="1"/>
              <w:left w:val="single" w:color="BFBFBF" w:sz="1"/>
              <w:bottom w:val="single" w:color="BFBFBF" w:sz="1"/>
              <w:right w:val="single" w:color="BFBFBF" w:sz="1"/>
            </w:tcBorders>
            <w:shd w:fill="FFFFFF" w:val="clear"/>
            <w:tcMar>
              <w:top w:type="dxa" w:w="45"/>
              <w:left w:type="dxa" w:w="100"/>
              <w:bottom w:type="dxa" w:w="45"/>
              <w:right w:type="dxa" w:w="100"/>
            </w:tcMar>
            <w:vAlign w:val="center"/>
          </w:tcPr>
          <w:p>
            <w:pPr>
              <w:jc w:val="center"/>
            </w:pPr>
            <w:r>
              <w:rPr>
                <w:b w:val="false"/>
                <w:bCs w:val="false"/>
                <w:sz w:val="17"/>
                <w:szCs w:val="17"/>
              </w:rPr>
              <w:t xml:space="preserve">$259,862</w:t>
            </w:r>
          </w:p>
        </w:tc>
        <w:tc>
          <w:tcPr>
            <w:tcW w:type="dxa" w:w="3180"/>
            <w:tcBorders>
              <w:top w:val="single" w:color="BFBFBF" w:sz="1"/>
              <w:left w:val="single" w:color="BFBFBF" w:sz="1"/>
              <w:bottom w:val="single" w:color="BFBFBF" w:sz="1"/>
              <w:right w:val="single" w:color="BFBFBF" w:sz="1"/>
            </w:tcBorders>
            <w:shd w:fill="FFFFFF" w:val="clear"/>
            <w:tcMar>
              <w:top w:type="dxa" w:w="45"/>
              <w:left w:type="dxa" w:w="100"/>
              <w:bottom w:type="dxa" w:w="45"/>
              <w:right w:type="dxa" w:w="100"/>
            </w:tcMar>
            <w:vAlign w:val="center"/>
          </w:tcPr>
          <w:p>
            <w:pPr>
              <w:jc w:val="center"/>
            </w:pPr>
            <w:r>
              <w:rPr>
                <w:b w:val="false"/>
                <w:bCs w:val="false"/>
                <w:sz w:val="17"/>
                <w:szCs w:val="17"/>
              </w:rPr>
              <w:t xml:space="preserve">$37,160,222</w:t>
            </w:r>
          </w:p>
        </w:tc>
      </w:tr>
      <w:tr>
        <w:tc>
          <w:tcPr>
            <w:tcW w:type="dxa" w:w="3000"/>
            <w:tcBorders>
              <w:top w:val="single" w:color="BFBFBF" w:sz="1"/>
              <w:left w:val="single" w:color="BFBFBF" w:sz="1"/>
              <w:bottom w:val="single" w:color="BFBFBF" w:sz="1"/>
              <w:right w:val="single" w:color="BFBFBF" w:sz="1"/>
            </w:tcBorders>
            <w:shd w:fill="EEF3FB" w:val="clear"/>
            <w:tcMar>
              <w:top w:type="dxa" w:w="45"/>
              <w:left w:type="dxa" w:w="100"/>
              <w:bottom w:type="dxa" w:w="45"/>
              <w:right w:type="dxa" w:w="100"/>
            </w:tcMar>
            <w:vAlign w:val="center"/>
          </w:tcPr>
          <w:p>
            <w:pPr>
              <w:jc w:val="left"/>
            </w:pPr>
            <w:r>
              <w:rPr>
                <w:b/>
                <w:bCs/>
                <w:sz w:val="17"/>
                <w:szCs w:val="17"/>
              </w:rPr>
              <w:t xml:space="preserve">Store 44</w:t>
            </w:r>
          </w:p>
        </w:tc>
        <w:tc>
          <w:tcPr>
            <w:tcW w:type="dxa" w:w="3180"/>
            <w:tcBorders>
              <w:top w:val="single" w:color="BFBFBF" w:sz="1"/>
              <w:left w:val="single" w:color="BFBFBF" w:sz="1"/>
              <w:bottom w:val="single" w:color="BFBFBF" w:sz="1"/>
              <w:right w:val="single" w:color="BFBFBF" w:sz="1"/>
            </w:tcBorders>
            <w:shd w:fill="EEF3FB" w:val="clear"/>
            <w:tcMar>
              <w:top w:type="dxa" w:w="45"/>
              <w:left w:type="dxa" w:w="100"/>
              <w:bottom w:type="dxa" w:w="45"/>
              <w:right w:type="dxa" w:w="100"/>
            </w:tcMar>
            <w:vAlign w:val="center"/>
          </w:tcPr>
          <w:p>
            <w:pPr>
              <w:jc w:val="center"/>
            </w:pPr>
            <w:r>
              <w:rPr>
                <w:b w:val="false"/>
                <w:bCs w:val="false"/>
                <w:sz w:val="17"/>
                <w:szCs w:val="17"/>
              </w:rPr>
              <w:t xml:space="preserve">$302,749</w:t>
            </w:r>
          </w:p>
        </w:tc>
        <w:tc>
          <w:tcPr>
            <w:tcW w:type="dxa" w:w="3180"/>
            <w:tcBorders>
              <w:top w:val="single" w:color="BFBFBF" w:sz="1"/>
              <w:left w:val="single" w:color="BFBFBF" w:sz="1"/>
              <w:bottom w:val="single" w:color="BFBFBF" w:sz="1"/>
              <w:right w:val="single" w:color="BFBFBF" w:sz="1"/>
            </w:tcBorders>
            <w:shd w:fill="EEF3FB" w:val="clear"/>
            <w:tcMar>
              <w:top w:type="dxa" w:w="45"/>
              <w:left w:type="dxa" w:w="100"/>
              <w:bottom w:type="dxa" w:w="45"/>
              <w:right w:type="dxa" w:w="100"/>
            </w:tcMar>
            <w:vAlign w:val="center"/>
          </w:tcPr>
          <w:p>
            <w:pPr>
              <w:jc w:val="center"/>
            </w:pPr>
            <w:r>
              <w:rPr>
                <w:b w:val="false"/>
                <w:bCs w:val="false"/>
                <w:sz w:val="17"/>
                <w:szCs w:val="17"/>
              </w:rPr>
              <w:t xml:space="preserve">$43,293,088</w:t>
            </w:r>
          </w:p>
        </w:tc>
      </w:tr>
      <w:tr>
        <w:tc>
          <w:tcPr>
            <w:tcW w:type="dxa" w:w="3000"/>
            <w:tcBorders>
              <w:top w:val="single" w:color="BFBFBF" w:sz="1"/>
              <w:left w:val="single" w:color="BFBFBF" w:sz="1"/>
              <w:bottom w:val="single" w:color="BFBFBF" w:sz="1"/>
              <w:right w:val="single" w:color="BFBFBF" w:sz="1"/>
            </w:tcBorders>
            <w:shd w:fill="FFFFFF" w:val="clear"/>
            <w:tcMar>
              <w:top w:type="dxa" w:w="45"/>
              <w:left w:type="dxa" w:w="100"/>
              <w:bottom w:type="dxa" w:w="45"/>
              <w:right w:type="dxa" w:w="100"/>
            </w:tcMar>
            <w:vAlign w:val="center"/>
          </w:tcPr>
          <w:p>
            <w:pPr>
              <w:jc w:val="left"/>
            </w:pPr>
            <w:r>
              <w:rPr>
                <w:b/>
                <w:bCs/>
                <w:sz w:val="17"/>
                <w:szCs w:val="17"/>
              </w:rPr>
              <w:t xml:space="preserve">Store 5</w:t>
            </w:r>
          </w:p>
        </w:tc>
        <w:tc>
          <w:tcPr>
            <w:tcW w:type="dxa" w:w="3180"/>
            <w:tcBorders>
              <w:top w:val="single" w:color="BFBFBF" w:sz="1"/>
              <w:left w:val="single" w:color="BFBFBF" w:sz="1"/>
              <w:bottom w:val="single" w:color="BFBFBF" w:sz="1"/>
              <w:right w:val="single" w:color="BFBFBF" w:sz="1"/>
            </w:tcBorders>
            <w:shd w:fill="FFFFFF" w:val="clear"/>
            <w:tcMar>
              <w:top w:type="dxa" w:w="45"/>
              <w:left w:type="dxa" w:w="100"/>
              <w:bottom w:type="dxa" w:w="45"/>
              <w:right w:type="dxa" w:w="100"/>
            </w:tcMar>
            <w:vAlign w:val="center"/>
          </w:tcPr>
          <w:p>
            <w:pPr>
              <w:jc w:val="center"/>
            </w:pPr>
            <w:r>
              <w:rPr>
                <w:b w:val="false"/>
                <w:bCs w:val="false"/>
                <w:sz w:val="17"/>
                <w:szCs w:val="17"/>
              </w:rPr>
              <w:t xml:space="preserve">$318,012</w:t>
            </w:r>
          </w:p>
        </w:tc>
        <w:tc>
          <w:tcPr>
            <w:tcW w:type="dxa" w:w="3180"/>
            <w:tcBorders>
              <w:top w:val="single" w:color="BFBFBF" w:sz="1"/>
              <w:left w:val="single" w:color="BFBFBF" w:sz="1"/>
              <w:bottom w:val="single" w:color="BFBFBF" w:sz="1"/>
              <w:right w:val="single" w:color="BFBFBF" w:sz="1"/>
            </w:tcBorders>
            <w:shd w:fill="FFFFFF" w:val="clear"/>
            <w:tcMar>
              <w:top w:type="dxa" w:w="45"/>
              <w:left w:type="dxa" w:w="100"/>
              <w:bottom w:type="dxa" w:w="45"/>
              <w:right w:type="dxa" w:w="100"/>
            </w:tcMar>
            <w:vAlign w:val="center"/>
          </w:tcPr>
          <w:p>
            <w:pPr>
              <w:jc w:val="center"/>
            </w:pPr>
            <w:r>
              <w:rPr>
                <w:b w:val="false"/>
                <w:bCs w:val="false"/>
                <w:sz w:val="17"/>
                <w:szCs w:val="17"/>
              </w:rPr>
              <w:t xml:space="preserve">$45,475,689</w:t>
            </w:r>
          </w:p>
        </w:tc>
      </w:tr>
    </w:tbl>
    <w:p>
      <w:pPr>
        <w:spacing w:after="120" w:line="276"/>
        <w:jc w:val="both"/>
      </w:pPr>
      <w:r>
        <w:rPr>
          <w:b/>
          <w:bCs/>
        </w:rPr>
        <w:t xml:space="preserve">Answer: </w:t>
      </w:r>
      <w:r>
        <w:t xml:space="preserve">The worst performer is Store 33 (~$37.2M total). The best, Store 20, sells about 8.1× more — a gap of ~$264M (711% higher). A Welch t-test confirms the gap is highly significant (t ≈ 80, p ≈ 3.5 × 10⁻¹²¹), reflecting a real structural difference in store size/format/location. The smallest stores (33, 44, 5, 36, 38) are candidates for format review or right-sized inventory.</w:t>
      </w:r>
    </w:p>
    <w:p>
      <w:pPr>
        <w:pStyle w:val="Heading1"/>
        <w:pageBreakBefore/>
        <w:spacing w:after="150" w:before="240"/>
      </w:pPr>
      <w:r>
        <w:t xml:space="preserve">7. Predictive Modelling — Store Segregation &amp; ARIMA / SARIMA</w:t>
      </w:r>
    </w:p>
    <w:p>
      <w:pPr>
        <w:spacing w:after="120" w:line="276"/>
        <w:jc w:val="both"/>
      </w:pPr>
      <w:r>
        <w:t xml:space="preserve">Inventory planning is a per-store problem, so the panel is segregated into one weekly-sales time series per store and each store is modelled individually. The 12-week horizon (Nov 2012 → Jan 2013) includes the holiday peak, so the model must capture the strong annual seasonality found in Part 1. We therefore use SARIMA (seasonal ARIMA, weekly period m = 52) and benchmark it against a non-seasonal ARIMA.</w:t>
      </w:r>
    </w:p>
    <w:p>
      <w:pPr>
        <w:pStyle w:val="Heading2"/>
        <w:spacing w:after="90" w:before="180"/>
      </w:pPr>
      <w:r>
        <w:t xml:space="preserve">7.1 Segregating the stores</w:t>
      </w:r>
    </w:p>
    <w:p>
      <w:pPr>
        <w:spacing w:after="120" w:line="276"/>
        <w:jc w:val="both"/>
      </w:pPr>
      <w:r>
        <w:t xml:space="preserve">Each store becomes its own ordered weekly series (143 weeks, Friday frequency). The workflow is demonstrated in depth on five representative stores spanning the performance range — Store 20 (best), 19, 34, 9 and 33 (worst) — then applied to all 45.</w:t>
      </w:r>
    </w:p>
    <w:p>
      <w:pPr>
        <w:spacing w:after="50" w:before="70"/>
        <w:jc w:val="center"/>
      </w:pPr>
      <w:r>
        <w:drawing>
          <wp:inline distT="0" distB="0" distL="0" distR="0">
            <wp:extent cx="5143500" cy="4352925"/>
            <wp:effectExtent t="0" r="0" b="0" l="0"/>
            <wp:docPr id="1" name="wal_segregation.png" descr="wal_segregation.png" title="wal_segreg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4352925"/>
                    </a:xfrm>
                    <a:prstGeom prst="rect">
                      <a:avLst/>
                    </a:prstGeom>
                  </pic:spPr>
                </pic:pic>
              </a:graphicData>
            </a:graphic>
          </wp:inline>
        </w:drawing>
      </w:r>
    </w:p>
    <w:p>
      <w:pPr>
        <w:spacing w:after="150"/>
        <w:jc w:val="center"/>
      </w:pPr>
      <w:r>
        <w:rPr>
          <w:i/>
          <w:iCs/>
          <w:color w:val="595959"/>
          <w:sz w:val="17"/>
          <w:szCs w:val="17"/>
        </w:rPr>
        <w:t xml:space="preserve">Figure 8 — Store segregation: weekly sales of five representative stores (best → worst).</w:t>
      </w:r>
    </w:p>
    <w:p>
      <w:pPr>
        <w:pStyle w:val="Heading2"/>
        <w:spacing w:after="90" w:before="180"/>
      </w:pPr>
      <w:r>
        <w:t xml:space="preserve">7.2 Stationarity &amp; model order</w:t>
      </w:r>
    </w:p>
    <w:p>
      <w:pPr>
        <w:spacing w:after="120" w:line="276"/>
        <w:jc w:val="both"/>
      </w:pPr>
      <w:r>
        <w:t xml:space="preserve">The Augmented Dickey-Fuller test rejects the unit-root null after first differencing (e.g. Store 20: ADF p ≈ 9 × 10⁻¹² on the differenced series), so d = 1. The ACF of the differenced series shows a clear spike at lag 52 — the yearly seasonality — motivating the seasonal term. The chosen specification is SARIMA(1,1,1)(0,1,1)₅₂.</w:t>
      </w:r>
    </w:p>
    <w:p>
      <w:pPr>
        <w:spacing w:after="50" w:before="70"/>
        <w:jc w:val="center"/>
      </w:pPr>
      <w:r>
        <w:drawing>
          <wp:inline distT="0" distB="0" distL="0" distR="0">
            <wp:extent cx="5715000" cy="1724025"/>
            <wp:effectExtent t="0" r="0" b="0" l="0"/>
            <wp:docPr id="1" name="wal_acf_pacf.png" descr="wal_acf_pacf.png" title="wal_acf_pac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1724025"/>
                    </a:xfrm>
                    <a:prstGeom prst="rect">
                      <a:avLst/>
                    </a:prstGeom>
                  </pic:spPr>
                </pic:pic>
              </a:graphicData>
            </a:graphic>
          </wp:inline>
        </w:drawing>
      </w:r>
    </w:p>
    <w:p>
      <w:pPr>
        <w:spacing w:after="150"/>
        <w:jc w:val="center"/>
      </w:pPr>
      <w:r>
        <w:rPr>
          <w:i/>
          <w:iCs/>
          <w:color w:val="595959"/>
          <w:sz w:val="17"/>
          <w:szCs w:val="17"/>
        </w:rPr>
        <w:t xml:space="preserve">Figure 9 — ACF / PACF of the differenced series (Store 20).</w:t>
      </w:r>
    </w:p>
    <w:p>
      <w:pPr>
        <w:pStyle w:val="Heading2"/>
        <w:spacing w:after="90" w:before="180"/>
      </w:pPr>
      <w:r>
        <w:t xml:space="preserve">7.3 ARIMA vs SARIMA</w:t>
      </w:r>
    </w:p>
    <w:p>
      <w:pPr>
        <w:spacing w:after="120" w:line="276"/>
        <w:jc w:val="both"/>
      </w:pPr>
      <w:r>
        <w:t xml:space="preserve">Adding the seasonal component is decisive. On Store 20 the AIC falls from 3,959 (ARIMA) to 963 (SARIMA) — a difference of nearly 3,000 — confirming that the yearly cycle is the dominant structure in the data.</w:t>
      </w:r>
    </w:p>
    <w:p>
      <w:pPr>
        <w:pStyle w:val="Heading2"/>
        <w:spacing w:after="90" w:before="180"/>
      </w:pPr>
      <w:r>
        <w:t xml:space="preserve">7.4 Backtest — last 12 weeks held out</w:t>
      </w:r>
    </w:p>
    <w:p>
      <w:pPr>
        <w:spacing w:after="120" w:line="276"/>
        <w:jc w:val="both"/>
      </w:pPr>
      <w:r>
        <w:t xml:space="preserve">For each representative store the last 12 weeks were held out, forecast, and compared to actuals by MAPE. SARIMA is benchmarked against ARIMA on the identical hold-out.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1"/>
              <w:left w:val="single" w:color="BFBFBF" w:sz="1"/>
              <w:bottom w:val="single" w:color="BFBFBF" w:sz="1"/>
              <w:right w:val="single" w:color="BFBFBF" w:sz="1"/>
            </w:tcBorders>
            <w:shd w:fill="1F3864" w:val="clear"/>
            <w:tcMar>
              <w:top w:type="dxa" w:w="55"/>
              <w:left w:type="dxa" w:w="100"/>
              <w:bottom w:type="dxa" w:w="55"/>
              <w:right w:type="dxa" w:w="100"/>
            </w:tcMar>
          </w:tcPr>
          <w:p>
            <w:pPr>
              <w:jc w:val="left"/>
            </w:pPr>
            <w:r>
              <w:rPr>
                <w:b/>
                <w:bCs/>
                <w:color w:val="FFFFFF"/>
                <w:sz w:val="18"/>
                <w:szCs w:val="18"/>
              </w:rPr>
              <w:t xml:space="preserve">Store</w:t>
            </w:r>
          </w:p>
        </w:tc>
        <w:tc>
          <w:tcPr>
            <w:tcW w:type="dxa" w:w="3120"/>
            <w:tcBorders>
              <w:top w:val="single" w:color="BFBFBF" w:sz="1"/>
              <w:left w:val="single" w:color="BFBFBF" w:sz="1"/>
              <w:bottom w:val="single" w:color="BFBFBF" w:sz="1"/>
              <w:right w:val="single" w:color="BFBFBF" w:sz="1"/>
            </w:tcBorders>
            <w:shd w:fill="1F3864" w:val="clear"/>
            <w:tcMar>
              <w:top w:type="dxa" w:w="55"/>
              <w:left w:type="dxa" w:w="100"/>
              <w:bottom w:type="dxa" w:w="55"/>
              <w:right w:type="dxa" w:w="100"/>
            </w:tcMar>
          </w:tcPr>
          <w:p>
            <w:pPr>
              <w:jc w:val="center"/>
            </w:pPr>
            <w:r>
              <w:rPr>
                <w:b/>
                <w:bCs/>
                <w:color w:val="FFFFFF"/>
                <w:sz w:val="18"/>
                <w:szCs w:val="18"/>
              </w:rPr>
              <w:t xml:space="preserve">ARIMA MAPE</w:t>
            </w:r>
          </w:p>
        </w:tc>
        <w:tc>
          <w:tcPr>
            <w:tcW w:type="dxa" w:w="3120"/>
            <w:tcBorders>
              <w:top w:val="single" w:color="BFBFBF" w:sz="1"/>
              <w:left w:val="single" w:color="BFBFBF" w:sz="1"/>
              <w:bottom w:val="single" w:color="BFBFBF" w:sz="1"/>
              <w:right w:val="single" w:color="BFBFBF" w:sz="1"/>
            </w:tcBorders>
            <w:shd w:fill="1F3864" w:val="clear"/>
            <w:tcMar>
              <w:top w:type="dxa" w:w="55"/>
              <w:left w:type="dxa" w:w="100"/>
              <w:bottom w:type="dxa" w:w="55"/>
              <w:right w:type="dxa" w:w="100"/>
            </w:tcMar>
          </w:tcPr>
          <w:p>
            <w:pPr>
              <w:jc w:val="center"/>
            </w:pPr>
            <w:r>
              <w:rPr>
                <w:b/>
                <w:bCs/>
                <w:color w:val="FFFFFF"/>
                <w:sz w:val="18"/>
                <w:szCs w:val="18"/>
              </w:rPr>
              <w:t xml:space="preserve">SARIMA MAPE</w:t>
            </w:r>
          </w:p>
        </w:tc>
      </w:tr>
      <w:tr>
        <w:tc>
          <w:tcPr>
            <w:tcW w:type="dxa" w:w="3120"/>
            <w:tcBorders>
              <w:top w:val="single" w:color="BFBFBF" w:sz="1"/>
              <w:left w:val="single" w:color="BFBFBF" w:sz="1"/>
              <w:bottom w:val="single" w:color="BFBFBF" w:sz="1"/>
              <w:right w:val="single" w:color="BFBFBF" w:sz="1"/>
            </w:tcBorders>
            <w:shd w:fill="FFFFFF" w:val="clear"/>
            <w:tcMar>
              <w:top w:type="dxa" w:w="45"/>
              <w:left w:type="dxa" w:w="100"/>
              <w:bottom w:type="dxa" w:w="45"/>
              <w:right w:type="dxa" w:w="100"/>
            </w:tcMar>
            <w:vAlign w:val="center"/>
          </w:tcPr>
          <w:p>
            <w:pPr>
              <w:jc w:val="left"/>
            </w:pPr>
            <w:r>
              <w:rPr>
                <w:b/>
                <w:bCs/>
                <w:sz w:val="17"/>
                <w:szCs w:val="17"/>
              </w:rPr>
              <w:t xml:space="preserve">Store 20</w:t>
            </w:r>
          </w:p>
        </w:tc>
        <w:tc>
          <w:tcPr>
            <w:tcW w:type="dxa" w:w="3120"/>
            <w:tcBorders>
              <w:top w:val="single" w:color="BFBFBF" w:sz="1"/>
              <w:left w:val="single" w:color="BFBFBF" w:sz="1"/>
              <w:bottom w:val="single" w:color="BFBFBF" w:sz="1"/>
              <w:right w:val="single" w:color="BFBFBF" w:sz="1"/>
            </w:tcBorders>
            <w:shd w:fill="FFFFFF" w:val="clear"/>
            <w:tcMar>
              <w:top w:type="dxa" w:w="45"/>
              <w:left w:type="dxa" w:w="100"/>
              <w:bottom w:type="dxa" w:w="45"/>
              <w:right w:type="dxa" w:w="100"/>
            </w:tcMar>
            <w:vAlign w:val="center"/>
          </w:tcPr>
          <w:p>
            <w:pPr>
              <w:jc w:val="center"/>
            </w:pPr>
            <w:r>
              <w:rPr>
                <w:b w:val="false"/>
                <w:bCs w:val="false"/>
                <w:sz w:val="17"/>
                <w:szCs w:val="17"/>
              </w:rPr>
              <w:t xml:space="preserve">4.09%</w:t>
            </w:r>
          </w:p>
        </w:tc>
        <w:tc>
          <w:tcPr>
            <w:tcW w:type="dxa" w:w="3120"/>
            <w:tcBorders>
              <w:top w:val="single" w:color="BFBFBF" w:sz="1"/>
              <w:left w:val="single" w:color="BFBFBF" w:sz="1"/>
              <w:bottom w:val="single" w:color="BFBFBF" w:sz="1"/>
              <w:right w:val="single" w:color="BFBFBF" w:sz="1"/>
            </w:tcBorders>
            <w:shd w:fill="FFFFFF" w:val="clear"/>
            <w:tcMar>
              <w:top w:type="dxa" w:w="45"/>
              <w:left w:type="dxa" w:w="100"/>
              <w:bottom w:type="dxa" w:w="45"/>
              <w:right w:type="dxa" w:w="100"/>
            </w:tcMar>
            <w:vAlign w:val="center"/>
          </w:tcPr>
          <w:p>
            <w:pPr>
              <w:jc w:val="center"/>
            </w:pPr>
            <w:r>
              <w:rPr>
                <w:b w:val="false"/>
                <w:bCs w:val="false"/>
                <w:sz w:val="17"/>
                <w:szCs w:val="17"/>
              </w:rPr>
              <w:t xml:space="preserve">2.82%</w:t>
            </w:r>
          </w:p>
        </w:tc>
      </w:tr>
      <w:tr>
        <w:tc>
          <w:tcPr>
            <w:tcW w:type="dxa" w:w="3120"/>
            <w:tcBorders>
              <w:top w:val="single" w:color="BFBFBF" w:sz="1"/>
              <w:left w:val="single" w:color="BFBFBF" w:sz="1"/>
              <w:bottom w:val="single" w:color="BFBFBF" w:sz="1"/>
              <w:right w:val="single" w:color="BFBFBF" w:sz="1"/>
            </w:tcBorders>
            <w:shd w:fill="EEF3FB" w:val="clear"/>
            <w:tcMar>
              <w:top w:type="dxa" w:w="45"/>
              <w:left w:type="dxa" w:w="100"/>
              <w:bottom w:type="dxa" w:w="45"/>
              <w:right w:type="dxa" w:w="100"/>
            </w:tcMar>
            <w:vAlign w:val="center"/>
          </w:tcPr>
          <w:p>
            <w:pPr>
              <w:jc w:val="left"/>
            </w:pPr>
            <w:r>
              <w:rPr>
                <w:b/>
                <w:bCs/>
                <w:sz w:val="17"/>
                <w:szCs w:val="17"/>
              </w:rPr>
              <w:t xml:space="preserve">Store 19</w:t>
            </w:r>
          </w:p>
        </w:tc>
        <w:tc>
          <w:tcPr>
            <w:tcW w:type="dxa" w:w="3120"/>
            <w:tcBorders>
              <w:top w:val="single" w:color="BFBFBF" w:sz="1"/>
              <w:left w:val="single" w:color="BFBFBF" w:sz="1"/>
              <w:bottom w:val="single" w:color="BFBFBF" w:sz="1"/>
              <w:right w:val="single" w:color="BFBFBF" w:sz="1"/>
            </w:tcBorders>
            <w:shd w:fill="EEF3FB" w:val="clear"/>
            <w:tcMar>
              <w:top w:type="dxa" w:w="45"/>
              <w:left w:type="dxa" w:w="100"/>
              <w:bottom w:type="dxa" w:w="45"/>
              <w:right w:type="dxa" w:w="100"/>
            </w:tcMar>
            <w:vAlign w:val="center"/>
          </w:tcPr>
          <w:p>
            <w:pPr>
              <w:jc w:val="center"/>
            </w:pPr>
            <w:r>
              <w:rPr>
                <w:b w:val="false"/>
                <w:bCs w:val="false"/>
                <w:sz w:val="17"/>
                <w:szCs w:val="17"/>
              </w:rPr>
              <w:t xml:space="preserve">5.57%</w:t>
            </w:r>
          </w:p>
        </w:tc>
        <w:tc>
          <w:tcPr>
            <w:tcW w:type="dxa" w:w="3120"/>
            <w:tcBorders>
              <w:top w:val="single" w:color="BFBFBF" w:sz="1"/>
              <w:left w:val="single" w:color="BFBFBF" w:sz="1"/>
              <w:bottom w:val="single" w:color="BFBFBF" w:sz="1"/>
              <w:right w:val="single" w:color="BFBFBF" w:sz="1"/>
            </w:tcBorders>
            <w:shd w:fill="EEF3FB" w:val="clear"/>
            <w:tcMar>
              <w:top w:type="dxa" w:w="45"/>
              <w:left w:type="dxa" w:w="100"/>
              <w:bottom w:type="dxa" w:w="45"/>
              <w:right w:type="dxa" w:w="100"/>
            </w:tcMar>
            <w:vAlign w:val="center"/>
          </w:tcPr>
          <w:p>
            <w:pPr>
              <w:jc w:val="center"/>
            </w:pPr>
            <w:r>
              <w:rPr>
                <w:b w:val="false"/>
                <w:bCs w:val="false"/>
                <w:sz w:val="17"/>
                <w:szCs w:val="17"/>
              </w:rPr>
              <w:t xml:space="preserve">2.75%</w:t>
            </w:r>
          </w:p>
        </w:tc>
      </w:tr>
      <w:tr>
        <w:tc>
          <w:tcPr>
            <w:tcW w:type="dxa" w:w="3120"/>
            <w:tcBorders>
              <w:top w:val="single" w:color="BFBFBF" w:sz="1"/>
              <w:left w:val="single" w:color="BFBFBF" w:sz="1"/>
              <w:bottom w:val="single" w:color="BFBFBF" w:sz="1"/>
              <w:right w:val="single" w:color="BFBFBF" w:sz="1"/>
            </w:tcBorders>
            <w:shd w:fill="FFFFFF" w:val="clear"/>
            <w:tcMar>
              <w:top w:type="dxa" w:w="45"/>
              <w:left w:type="dxa" w:w="100"/>
              <w:bottom w:type="dxa" w:w="45"/>
              <w:right w:type="dxa" w:w="100"/>
            </w:tcMar>
            <w:vAlign w:val="center"/>
          </w:tcPr>
          <w:p>
            <w:pPr>
              <w:jc w:val="left"/>
            </w:pPr>
            <w:r>
              <w:rPr>
                <w:b/>
                <w:bCs/>
                <w:sz w:val="17"/>
                <w:szCs w:val="17"/>
              </w:rPr>
              <w:t xml:space="preserve">Store 34</w:t>
            </w:r>
          </w:p>
        </w:tc>
        <w:tc>
          <w:tcPr>
            <w:tcW w:type="dxa" w:w="3120"/>
            <w:tcBorders>
              <w:top w:val="single" w:color="BFBFBF" w:sz="1"/>
              <w:left w:val="single" w:color="BFBFBF" w:sz="1"/>
              <w:bottom w:val="single" w:color="BFBFBF" w:sz="1"/>
              <w:right w:val="single" w:color="BFBFBF" w:sz="1"/>
            </w:tcBorders>
            <w:shd w:fill="FFFFFF" w:val="clear"/>
            <w:tcMar>
              <w:top w:type="dxa" w:w="45"/>
              <w:left w:type="dxa" w:w="100"/>
              <w:bottom w:type="dxa" w:w="45"/>
              <w:right w:type="dxa" w:w="100"/>
            </w:tcMar>
            <w:vAlign w:val="center"/>
          </w:tcPr>
          <w:p>
            <w:pPr>
              <w:jc w:val="center"/>
            </w:pPr>
            <w:r>
              <w:rPr>
                <w:b w:val="false"/>
                <w:bCs w:val="false"/>
                <w:sz w:val="17"/>
                <w:szCs w:val="17"/>
              </w:rPr>
              <w:t xml:space="preserve">3.08%</w:t>
            </w:r>
          </w:p>
        </w:tc>
        <w:tc>
          <w:tcPr>
            <w:tcW w:type="dxa" w:w="3120"/>
            <w:tcBorders>
              <w:top w:val="single" w:color="BFBFBF" w:sz="1"/>
              <w:left w:val="single" w:color="BFBFBF" w:sz="1"/>
              <w:bottom w:val="single" w:color="BFBFBF" w:sz="1"/>
              <w:right w:val="single" w:color="BFBFBF" w:sz="1"/>
            </w:tcBorders>
            <w:shd w:fill="FFFFFF" w:val="clear"/>
            <w:tcMar>
              <w:top w:type="dxa" w:w="45"/>
              <w:left w:type="dxa" w:w="100"/>
              <w:bottom w:type="dxa" w:w="45"/>
              <w:right w:type="dxa" w:w="100"/>
            </w:tcMar>
            <w:vAlign w:val="center"/>
          </w:tcPr>
          <w:p>
            <w:pPr>
              <w:jc w:val="center"/>
            </w:pPr>
            <w:r>
              <w:rPr>
                <w:b w:val="false"/>
                <w:bCs w:val="false"/>
                <w:sz w:val="17"/>
                <w:szCs w:val="17"/>
              </w:rPr>
              <w:t xml:space="preserve">1.76%</w:t>
            </w:r>
          </w:p>
        </w:tc>
      </w:tr>
      <w:tr>
        <w:tc>
          <w:tcPr>
            <w:tcW w:type="dxa" w:w="3120"/>
            <w:tcBorders>
              <w:top w:val="single" w:color="BFBFBF" w:sz="1"/>
              <w:left w:val="single" w:color="BFBFBF" w:sz="1"/>
              <w:bottom w:val="single" w:color="BFBFBF" w:sz="1"/>
              <w:right w:val="single" w:color="BFBFBF" w:sz="1"/>
            </w:tcBorders>
            <w:shd w:fill="EEF3FB" w:val="clear"/>
            <w:tcMar>
              <w:top w:type="dxa" w:w="45"/>
              <w:left w:type="dxa" w:w="100"/>
              <w:bottom w:type="dxa" w:w="45"/>
              <w:right w:type="dxa" w:w="100"/>
            </w:tcMar>
            <w:vAlign w:val="center"/>
          </w:tcPr>
          <w:p>
            <w:pPr>
              <w:jc w:val="left"/>
            </w:pPr>
            <w:r>
              <w:rPr>
                <w:b/>
                <w:bCs/>
                <w:sz w:val="17"/>
                <w:szCs w:val="17"/>
              </w:rPr>
              <w:t xml:space="preserve">Store 9</w:t>
            </w:r>
          </w:p>
        </w:tc>
        <w:tc>
          <w:tcPr>
            <w:tcW w:type="dxa" w:w="3120"/>
            <w:tcBorders>
              <w:top w:val="single" w:color="BFBFBF" w:sz="1"/>
              <w:left w:val="single" w:color="BFBFBF" w:sz="1"/>
              <w:bottom w:val="single" w:color="BFBFBF" w:sz="1"/>
              <w:right w:val="single" w:color="BFBFBF" w:sz="1"/>
            </w:tcBorders>
            <w:shd w:fill="EEF3FB" w:val="clear"/>
            <w:tcMar>
              <w:top w:type="dxa" w:w="45"/>
              <w:left w:type="dxa" w:w="100"/>
              <w:bottom w:type="dxa" w:w="45"/>
              <w:right w:type="dxa" w:w="100"/>
            </w:tcMar>
            <w:vAlign w:val="center"/>
          </w:tcPr>
          <w:p>
            <w:pPr>
              <w:jc w:val="center"/>
            </w:pPr>
            <w:r>
              <w:rPr>
                <w:b w:val="false"/>
                <w:bCs w:val="false"/>
                <w:sz w:val="17"/>
                <w:szCs w:val="17"/>
              </w:rPr>
              <w:t xml:space="preserve">3.76%</w:t>
            </w:r>
          </w:p>
        </w:tc>
        <w:tc>
          <w:tcPr>
            <w:tcW w:type="dxa" w:w="3120"/>
            <w:tcBorders>
              <w:top w:val="single" w:color="BFBFBF" w:sz="1"/>
              <w:left w:val="single" w:color="BFBFBF" w:sz="1"/>
              <w:bottom w:val="single" w:color="BFBFBF" w:sz="1"/>
              <w:right w:val="single" w:color="BFBFBF" w:sz="1"/>
            </w:tcBorders>
            <w:shd w:fill="EEF3FB" w:val="clear"/>
            <w:tcMar>
              <w:top w:type="dxa" w:w="45"/>
              <w:left w:type="dxa" w:w="100"/>
              <w:bottom w:type="dxa" w:w="45"/>
              <w:right w:type="dxa" w:w="100"/>
            </w:tcMar>
            <w:vAlign w:val="center"/>
          </w:tcPr>
          <w:p>
            <w:pPr>
              <w:jc w:val="center"/>
            </w:pPr>
            <w:r>
              <w:rPr>
                <w:b w:val="false"/>
                <w:bCs w:val="false"/>
                <w:sz w:val="17"/>
                <w:szCs w:val="17"/>
              </w:rPr>
              <w:t xml:space="preserve">3.29%</w:t>
            </w:r>
          </w:p>
        </w:tc>
      </w:tr>
      <w:tr>
        <w:tc>
          <w:tcPr>
            <w:tcW w:type="dxa" w:w="3120"/>
            <w:tcBorders>
              <w:top w:val="single" w:color="BFBFBF" w:sz="1"/>
              <w:left w:val="single" w:color="BFBFBF" w:sz="1"/>
              <w:bottom w:val="single" w:color="BFBFBF" w:sz="1"/>
              <w:right w:val="single" w:color="BFBFBF" w:sz="1"/>
            </w:tcBorders>
            <w:shd w:fill="FFFFFF" w:val="clear"/>
            <w:tcMar>
              <w:top w:type="dxa" w:w="45"/>
              <w:left w:type="dxa" w:w="100"/>
              <w:bottom w:type="dxa" w:w="45"/>
              <w:right w:type="dxa" w:w="100"/>
            </w:tcMar>
            <w:vAlign w:val="center"/>
          </w:tcPr>
          <w:p>
            <w:pPr>
              <w:jc w:val="left"/>
            </w:pPr>
            <w:r>
              <w:rPr>
                <w:b/>
                <w:bCs/>
                <w:sz w:val="17"/>
                <w:szCs w:val="17"/>
              </w:rPr>
              <w:t xml:space="preserve">Store 33</w:t>
            </w:r>
          </w:p>
        </w:tc>
        <w:tc>
          <w:tcPr>
            <w:tcW w:type="dxa" w:w="3120"/>
            <w:tcBorders>
              <w:top w:val="single" w:color="BFBFBF" w:sz="1"/>
              <w:left w:val="single" w:color="BFBFBF" w:sz="1"/>
              <w:bottom w:val="single" w:color="BFBFBF" w:sz="1"/>
              <w:right w:val="single" w:color="BFBFBF" w:sz="1"/>
            </w:tcBorders>
            <w:shd w:fill="FFFFFF" w:val="clear"/>
            <w:tcMar>
              <w:top w:type="dxa" w:w="45"/>
              <w:left w:type="dxa" w:w="100"/>
              <w:bottom w:type="dxa" w:w="45"/>
              <w:right w:type="dxa" w:w="100"/>
            </w:tcMar>
            <w:vAlign w:val="center"/>
          </w:tcPr>
          <w:p>
            <w:pPr>
              <w:jc w:val="center"/>
            </w:pPr>
            <w:r>
              <w:rPr>
                <w:b w:val="false"/>
                <w:bCs w:val="false"/>
                <w:sz w:val="17"/>
                <w:szCs w:val="17"/>
              </w:rPr>
              <w:t xml:space="preserve">2.50%</w:t>
            </w:r>
          </w:p>
        </w:tc>
        <w:tc>
          <w:tcPr>
            <w:tcW w:type="dxa" w:w="3120"/>
            <w:tcBorders>
              <w:top w:val="single" w:color="BFBFBF" w:sz="1"/>
              <w:left w:val="single" w:color="BFBFBF" w:sz="1"/>
              <w:bottom w:val="single" w:color="BFBFBF" w:sz="1"/>
              <w:right w:val="single" w:color="BFBFBF" w:sz="1"/>
            </w:tcBorders>
            <w:shd w:fill="FFFFFF" w:val="clear"/>
            <w:tcMar>
              <w:top w:type="dxa" w:w="45"/>
              <w:left w:type="dxa" w:w="100"/>
              <w:bottom w:type="dxa" w:w="45"/>
              <w:right w:type="dxa" w:w="100"/>
            </w:tcMar>
            <w:vAlign w:val="center"/>
          </w:tcPr>
          <w:p>
            <w:pPr>
              <w:jc w:val="center"/>
            </w:pPr>
            <w:r>
              <w:rPr>
                <w:b w:val="false"/>
                <w:bCs w:val="false"/>
                <w:sz w:val="17"/>
                <w:szCs w:val="17"/>
              </w:rPr>
              <w:t xml:space="preserve">3.02%</w:t>
            </w:r>
          </w:p>
        </w:tc>
      </w:tr>
      <w:tr>
        <w:tc>
          <w:tcPr>
            <w:tcW w:type="dxa" w:w="3120"/>
            <w:tcBorders>
              <w:top w:val="single" w:color="BFBFBF" w:sz="1"/>
              <w:left w:val="single" w:color="BFBFBF" w:sz="1"/>
              <w:bottom w:val="single" w:color="BFBFBF" w:sz="1"/>
              <w:right w:val="single" w:color="BFBFBF" w:sz="1"/>
            </w:tcBorders>
            <w:shd w:fill="EEF3FB" w:val="clear"/>
            <w:tcMar>
              <w:top w:type="dxa" w:w="45"/>
              <w:left w:type="dxa" w:w="100"/>
              <w:bottom w:type="dxa" w:w="45"/>
              <w:right w:type="dxa" w:w="100"/>
            </w:tcMar>
            <w:vAlign w:val="center"/>
          </w:tcPr>
          <w:p>
            <w:pPr>
              <w:jc w:val="left"/>
            </w:pPr>
            <w:r>
              <w:rPr>
                <w:b/>
                <w:bCs/>
                <w:sz w:val="17"/>
                <w:szCs w:val="17"/>
              </w:rPr>
              <w:t xml:space="preserve">Mean</w:t>
            </w:r>
          </w:p>
        </w:tc>
        <w:tc>
          <w:tcPr>
            <w:tcW w:type="dxa" w:w="3120"/>
            <w:tcBorders>
              <w:top w:val="single" w:color="BFBFBF" w:sz="1"/>
              <w:left w:val="single" w:color="BFBFBF" w:sz="1"/>
              <w:bottom w:val="single" w:color="BFBFBF" w:sz="1"/>
              <w:right w:val="single" w:color="BFBFBF" w:sz="1"/>
            </w:tcBorders>
            <w:shd w:fill="EEF3FB" w:val="clear"/>
            <w:tcMar>
              <w:top w:type="dxa" w:w="45"/>
              <w:left w:type="dxa" w:w="100"/>
              <w:bottom w:type="dxa" w:w="45"/>
              <w:right w:type="dxa" w:w="100"/>
            </w:tcMar>
            <w:vAlign w:val="center"/>
          </w:tcPr>
          <w:p>
            <w:pPr>
              <w:jc w:val="center"/>
            </w:pPr>
            <w:r>
              <w:rPr>
                <w:b w:val="false"/>
                <w:bCs w:val="false"/>
                <w:sz w:val="17"/>
                <w:szCs w:val="17"/>
              </w:rPr>
              <w:t xml:space="preserve">3.80%</w:t>
            </w:r>
          </w:p>
        </w:tc>
        <w:tc>
          <w:tcPr>
            <w:tcW w:type="dxa" w:w="3120"/>
            <w:tcBorders>
              <w:top w:val="single" w:color="BFBFBF" w:sz="1"/>
              <w:left w:val="single" w:color="BFBFBF" w:sz="1"/>
              <w:bottom w:val="single" w:color="BFBFBF" w:sz="1"/>
              <w:right w:val="single" w:color="BFBFBF" w:sz="1"/>
            </w:tcBorders>
            <w:shd w:fill="EEF3FB" w:val="clear"/>
            <w:tcMar>
              <w:top w:type="dxa" w:w="45"/>
              <w:left w:type="dxa" w:w="100"/>
              <w:bottom w:type="dxa" w:w="45"/>
              <w:right w:type="dxa" w:w="100"/>
            </w:tcMar>
            <w:vAlign w:val="center"/>
          </w:tcPr>
          <w:p>
            <w:pPr>
              <w:jc w:val="center"/>
            </w:pPr>
            <w:r>
              <w:rPr>
                <w:b w:val="false"/>
                <w:bCs w:val="false"/>
                <w:sz w:val="17"/>
                <w:szCs w:val="17"/>
              </w:rPr>
              <w:t xml:space="preserve">2.73%</w:t>
            </w:r>
          </w:p>
        </w:tc>
      </w:tr>
    </w:tbl>
    <w:p>
      <w:pPr>
        <w:spacing w:after="50" w:before="70"/>
        <w:jc w:val="center"/>
      </w:pPr>
      <w:r>
        <w:drawing>
          <wp:inline distT="0" distB="0" distL="0" distR="0">
            <wp:extent cx="5943600" cy="1009650"/>
            <wp:effectExtent t="0" r="0" b="0" l="0"/>
            <wp:docPr id="1" name="wal_backtest_grid.png" descr="wal_backtest_grid.png" title="wal_backtest_gri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1009650"/>
                    </a:xfrm>
                    <a:prstGeom prst="rect">
                      <a:avLst/>
                    </a:prstGeom>
                  </pic:spPr>
                </pic:pic>
              </a:graphicData>
            </a:graphic>
          </wp:inline>
        </w:drawing>
      </w:r>
    </w:p>
    <w:p>
      <w:pPr>
        <w:spacing w:after="150"/>
        <w:jc w:val="center"/>
      </w:pPr>
      <w:r>
        <w:rPr>
          <w:i/>
          <w:iCs/>
          <w:color w:val="595959"/>
          <w:sz w:val="17"/>
          <w:szCs w:val="17"/>
        </w:rPr>
        <w:t xml:space="preserve">Figure 10 — Backtest on the last 12 weeks: actual vs SARIMA vs ARIMA.</w:t>
      </w:r>
    </w:p>
    <w:p>
      <w:pPr>
        <w:spacing w:after="50" w:before="70"/>
        <w:jc w:val="center"/>
      </w:pPr>
      <w:r>
        <w:drawing>
          <wp:inline distT="0" distB="0" distL="0" distR="0">
            <wp:extent cx="4381500" cy="2152650"/>
            <wp:effectExtent t="0" r="0" b="0" l="0"/>
            <wp:docPr id="1" name="wal_mape_bar.png" descr="wal_mape_bar.png" title="wal_mape_b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381500" cy="2152650"/>
                    </a:xfrm>
                    <a:prstGeom prst="rect">
                      <a:avLst/>
                    </a:prstGeom>
                  </pic:spPr>
                </pic:pic>
              </a:graphicData>
            </a:graphic>
          </wp:inline>
        </w:drawing>
      </w:r>
    </w:p>
    <w:p>
      <w:pPr>
        <w:spacing w:after="150"/>
        <w:jc w:val="center"/>
      </w:pPr>
      <w:r>
        <w:rPr>
          <w:i/>
          <w:iCs/>
          <w:color w:val="595959"/>
          <w:sz w:val="17"/>
          <w:szCs w:val="17"/>
        </w:rPr>
        <w:t xml:space="preserve">Figure 11 — 12-week backtest accuracy, ARIMA vs SARIMA (lower is better).</w:t>
      </w:r>
    </w:p>
    <w:p>
      <w:pPr>
        <w:spacing w:after="120" w:line="276"/>
        <w:jc w:val="both"/>
      </w:pPr>
      <w:r>
        <w:rPr>
          <w:b/>
          <w:bCs/>
        </w:rPr>
        <w:t xml:space="preserve">SARIMA wins. </w:t>
      </w:r>
      <w:r>
        <w:t xml:space="preserve">Its mean 12-week MAPE of 2.73% beats ARIMA (3.80%) and improves on the earlier Holt-Winters baseline (4.33%), while correctly tracking the holiday surge that flat ARIMA misses.</w:t>
      </w:r>
    </w:p>
    <w:p>
      <w:pPr>
        <w:pStyle w:val="Heading2"/>
        <w:spacing w:after="90" w:before="180"/>
      </w:pPr>
      <w:r>
        <w:t xml:space="preserve">7.5 Forward 12-week forecasts</w:t>
      </w:r>
    </w:p>
    <w:p>
      <w:pPr>
        <w:spacing w:after="120" w:line="276"/>
        <w:jc w:val="both"/>
      </w:pPr>
      <w:r>
        <w:t xml:space="preserve">Re-fitting SARIMA on each store's full history yields the 12-week forecast with 95% confidence bands. The forecasts reproduce the Thanksgiving/Christmas peak, and the bands widen through the volatile year-end period.</w:t>
      </w:r>
    </w:p>
    <w:p>
      <w:pPr>
        <w:spacing w:after="50" w:before="70"/>
        <w:jc w:val="center"/>
      </w:pPr>
      <w:r>
        <w:drawing>
          <wp:inline distT="0" distB="0" distL="0" distR="0">
            <wp:extent cx="4953000" cy="2276475"/>
            <wp:effectExtent t="0" r="0" b="0" l="0"/>
            <wp:docPr id="1" name="wal_fc_20.png" descr="wal_fc_20.png" title="wal_fc_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2276475"/>
                    </a:xfrm>
                    <a:prstGeom prst="rect">
                      <a:avLst/>
                    </a:prstGeom>
                  </pic:spPr>
                </pic:pic>
              </a:graphicData>
            </a:graphic>
          </wp:inline>
        </w:drawing>
      </w:r>
    </w:p>
    <w:p>
      <w:pPr>
        <w:spacing w:after="150"/>
        <w:jc w:val="center"/>
      </w:pPr>
      <w:r>
        <w:rPr>
          <w:i/>
          <w:iCs/>
          <w:color w:val="595959"/>
          <w:sz w:val="17"/>
          <w:szCs w:val="17"/>
        </w:rPr>
        <w:t xml:space="preserve">Figure 12 — Store 20 (best performer) — 12-week SARIMA forecast.</w:t>
      </w:r>
    </w:p>
    <w:p>
      <w:pPr>
        <w:spacing w:after="50" w:before="70"/>
        <w:jc w:val="center"/>
      </w:pPr>
      <w:r>
        <w:drawing>
          <wp:inline distT="0" distB="0" distL="0" distR="0">
            <wp:extent cx="4953000" cy="2276475"/>
            <wp:effectExtent t="0" r="0" b="0" l="0"/>
            <wp:docPr id="1" name="wal_fc_33.png" descr="wal_fc_33.png" title="wal_fc_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2276475"/>
                    </a:xfrm>
                    <a:prstGeom prst="rect">
                      <a:avLst/>
                    </a:prstGeom>
                  </pic:spPr>
                </pic:pic>
              </a:graphicData>
            </a:graphic>
          </wp:inline>
        </w:drawing>
      </w:r>
    </w:p>
    <w:p>
      <w:pPr>
        <w:spacing w:after="150"/>
        <w:jc w:val="center"/>
      </w:pPr>
      <w:r>
        <w:rPr>
          <w:i/>
          <w:iCs/>
          <w:color w:val="595959"/>
          <w:sz w:val="17"/>
          <w:szCs w:val="17"/>
        </w:rPr>
        <w:t xml:space="preserve">Figure 13 — Store 33 (worst performer) — 12-week SARIMA forecast.</w:t>
      </w:r>
    </w:p>
    <w:p>
      <w:pPr>
        <w:spacing w:after="50" w:before="70"/>
        <w:jc w:val="center"/>
      </w:pPr>
      <w:r>
        <w:drawing>
          <wp:inline distT="0" distB="0" distL="0" distR="0">
            <wp:extent cx="4381500" cy="2009775"/>
            <wp:effectExtent t="0" r="0" b="0" l="0"/>
            <wp:docPr id="1" name="wal_fc_19.png" descr="wal_fc_19.png" title="wal_fc_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381500" cy="2009775"/>
                    </a:xfrm>
                    <a:prstGeom prst="rect">
                      <a:avLst/>
                    </a:prstGeom>
                  </pic:spPr>
                </pic:pic>
              </a:graphicData>
            </a:graphic>
          </wp:inline>
        </w:drawing>
      </w:r>
    </w:p>
    <w:p>
      <w:pPr>
        <w:spacing w:after="50" w:before="70"/>
        <w:jc w:val="center"/>
      </w:pPr>
      <w:r>
        <w:drawing>
          <wp:inline distT="0" distB="0" distL="0" distR="0">
            <wp:extent cx="4381500" cy="2009775"/>
            <wp:effectExtent t="0" r="0" b="0" l="0"/>
            <wp:docPr id="1" name="wal_fc_34.png" descr="wal_fc_34.png" title="wal_fc_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381500" cy="2009775"/>
                    </a:xfrm>
                    <a:prstGeom prst="rect">
                      <a:avLst/>
                    </a:prstGeom>
                  </pic:spPr>
                </pic:pic>
              </a:graphicData>
            </a:graphic>
          </wp:inline>
        </w:drawing>
      </w:r>
    </w:p>
    <w:p>
      <w:pPr>
        <w:spacing w:after="50" w:before="70"/>
        <w:jc w:val="center"/>
      </w:pPr>
      <w:r>
        <w:drawing>
          <wp:inline distT="0" distB="0" distL="0" distR="0">
            <wp:extent cx="4381500" cy="2009775"/>
            <wp:effectExtent t="0" r="0" b="0" l="0"/>
            <wp:docPr id="1" name="wal_fc_9.png" descr="wal_fc_9.png" title="wal_fc_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381500" cy="2009775"/>
                    </a:xfrm>
                    <a:prstGeom prst="rect">
                      <a:avLst/>
                    </a:prstGeom>
                  </pic:spPr>
                </pic:pic>
              </a:graphicData>
            </a:graphic>
          </wp:inline>
        </w:drawing>
      </w:r>
    </w:p>
    <w:p>
      <w:pPr>
        <w:spacing w:after="150"/>
        <w:jc w:val="center"/>
      </w:pPr>
      <w:r>
        <w:rPr>
          <w:i/>
          <w:iCs/>
          <w:color w:val="595959"/>
          <w:sz w:val="17"/>
          <w:szCs w:val="17"/>
        </w:rPr>
        <w:t xml:space="preserve">Figures 14–16 — 12-week SARIMA forecasts for Stores 19, 34 and 9.</w:t>
      </w:r>
    </w:p>
    <w:p>
      <w:pPr>
        <w:pStyle w:val="Heading2"/>
        <w:spacing w:after="90" w:before="180"/>
      </w:pPr>
      <w:r>
        <w:t xml:space="preserve">7.6 Forecasting all 45 stores</w:t>
      </w:r>
    </w:p>
    <w:p>
      <w:pPr>
        <w:spacing w:after="120" w:line="276"/>
        <w:jc w:val="both"/>
      </w:pPr>
      <w:r>
        <w:t xml:space="preserve">The validated SARIMA pipeline is fit per store across the whole chain, producing the required 12-week forecast for every store (45 × 12 = 540 forecasts, each with a 95% band), exported to walmart_12week_forecast.csv. The chain-wide 12-week outlook totals approximately $623.8M.</w:t>
      </w:r>
    </w:p>
    <w:p>
      <w:pPr>
        <w:spacing w:after="50" w:before="70"/>
        <w:jc w:val="center"/>
      </w:pPr>
      <w:r>
        <w:drawing>
          <wp:inline distT="0" distB="0" distL="0" distR="0">
            <wp:extent cx="5943600" cy="1781175"/>
            <wp:effectExtent t="0" r="0" b="0" l="0"/>
            <wp:docPr id="1" name="wal_allstore_forecast.png" descr="wal_allstore_forecast.png" title="wal_allstore_foreca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43600" cy="1781175"/>
                    </a:xfrm>
                    <a:prstGeom prst="rect">
                      <a:avLst/>
                    </a:prstGeom>
                  </pic:spPr>
                </pic:pic>
              </a:graphicData>
            </a:graphic>
          </wp:inline>
        </w:drawing>
      </w:r>
    </w:p>
    <w:p>
      <w:pPr>
        <w:spacing w:after="150"/>
        <w:jc w:val="center"/>
      </w:pPr>
      <w:r>
        <w:rPr>
          <w:i/>
          <w:iCs/>
          <w:color w:val="595959"/>
          <w:sz w:val="17"/>
          <w:szCs w:val="17"/>
        </w:rPr>
        <w:t xml:space="preserve">Figure 17 — Forecasted total sales over the next 12 weeks, all 45 stores.</w:t>
      </w:r>
    </w:p>
    <w:p>
      <w:pPr>
        <w:spacing w:after="120" w:line="276"/>
        <w:jc w:val="both"/>
      </w:pPr>
      <w:r>
        <w:t xml:space="preserve">Example — Store 20's forecast captures the holiday ramp: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1"/>
              <w:left w:val="single" w:color="BFBFBF" w:sz="1"/>
              <w:bottom w:val="single" w:color="BFBFBF" w:sz="1"/>
              <w:right w:val="single" w:color="BFBFBF" w:sz="1"/>
            </w:tcBorders>
            <w:shd w:fill="1F3864" w:val="clear"/>
            <w:tcMar>
              <w:top w:type="dxa" w:w="55"/>
              <w:left w:type="dxa" w:w="100"/>
              <w:bottom w:type="dxa" w:w="55"/>
              <w:right w:type="dxa" w:w="100"/>
            </w:tcMar>
          </w:tcPr>
          <w:p>
            <w:pPr>
              <w:jc w:val="left"/>
            </w:pPr>
            <w:r>
              <w:rPr>
                <w:b/>
                <w:bCs/>
                <w:color w:val="FFFFFF"/>
                <w:sz w:val="18"/>
                <w:szCs w:val="18"/>
              </w:rPr>
              <w:t xml:space="preserve">Week ending</w:t>
            </w:r>
          </w:p>
        </w:tc>
        <w:tc>
          <w:tcPr>
            <w:tcW w:type="dxa" w:w="3120"/>
            <w:tcBorders>
              <w:top w:val="single" w:color="BFBFBF" w:sz="1"/>
              <w:left w:val="single" w:color="BFBFBF" w:sz="1"/>
              <w:bottom w:val="single" w:color="BFBFBF" w:sz="1"/>
              <w:right w:val="single" w:color="BFBFBF" w:sz="1"/>
            </w:tcBorders>
            <w:shd w:fill="1F3864" w:val="clear"/>
            <w:tcMar>
              <w:top w:type="dxa" w:w="55"/>
              <w:left w:type="dxa" w:w="100"/>
              <w:bottom w:type="dxa" w:w="55"/>
              <w:right w:type="dxa" w:w="100"/>
            </w:tcMar>
          </w:tcPr>
          <w:p>
            <w:pPr>
              <w:jc w:val="center"/>
            </w:pPr>
            <w:r>
              <w:rPr>
                <w:b/>
                <w:bCs/>
                <w:color w:val="FFFFFF"/>
                <w:sz w:val="18"/>
                <w:szCs w:val="18"/>
              </w:rPr>
              <w:t xml:space="preserve">Forecast sales</w:t>
            </w:r>
          </w:p>
        </w:tc>
        <w:tc>
          <w:tcPr>
            <w:tcW w:type="dxa" w:w="3120"/>
            <w:tcBorders>
              <w:top w:val="single" w:color="BFBFBF" w:sz="1"/>
              <w:left w:val="single" w:color="BFBFBF" w:sz="1"/>
              <w:bottom w:val="single" w:color="BFBFBF" w:sz="1"/>
              <w:right w:val="single" w:color="BFBFBF" w:sz="1"/>
            </w:tcBorders>
            <w:shd w:fill="1F3864" w:val="clear"/>
            <w:tcMar>
              <w:top w:type="dxa" w:w="55"/>
              <w:left w:type="dxa" w:w="100"/>
              <w:bottom w:type="dxa" w:w="55"/>
              <w:right w:type="dxa" w:w="100"/>
            </w:tcMar>
          </w:tcPr>
          <w:p>
            <w:pPr>
              <w:jc w:val="center"/>
            </w:pPr>
            <w:r>
              <w:rPr>
                <w:b/>
                <w:bCs/>
                <w:color w:val="FFFFFF"/>
                <w:sz w:val="18"/>
                <w:szCs w:val="18"/>
              </w:rPr>
              <w:t xml:space="preserve">Note</w:t>
            </w:r>
          </w:p>
        </w:tc>
      </w:tr>
      <w:tr>
        <w:tc>
          <w:tcPr>
            <w:tcW w:type="dxa" w:w="3120"/>
            <w:tcBorders>
              <w:top w:val="single" w:color="BFBFBF" w:sz="1"/>
              <w:left w:val="single" w:color="BFBFBF" w:sz="1"/>
              <w:bottom w:val="single" w:color="BFBFBF" w:sz="1"/>
              <w:right w:val="single" w:color="BFBFBF" w:sz="1"/>
            </w:tcBorders>
            <w:shd w:fill="FFFFFF" w:val="clear"/>
            <w:tcMar>
              <w:top w:type="dxa" w:w="45"/>
              <w:left w:type="dxa" w:w="100"/>
              <w:bottom w:type="dxa" w:w="45"/>
              <w:right w:type="dxa" w:w="100"/>
            </w:tcMar>
            <w:vAlign w:val="center"/>
          </w:tcPr>
          <w:p>
            <w:pPr>
              <w:jc w:val="left"/>
            </w:pPr>
            <w:r>
              <w:rPr>
                <w:b/>
                <w:bCs/>
                <w:sz w:val="17"/>
                <w:szCs w:val="17"/>
              </w:rPr>
              <w:t xml:space="preserve">2012-11-02</w:t>
            </w:r>
          </w:p>
        </w:tc>
        <w:tc>
          <w:tcPr>
            <w:tcW w:type="dxa" w:w="3120"/>
            <w:tcBorders>
              <w:top w:val="single" w:color="BFBFBF" w:sz="1"/>
              <w:left w:val="single" w:color="BFBFBF" w:sz="1"/>
              <w:bottom w:val="single" w:color="BFBFBF" w:sz="1"/>
              <w:right w:val="single" w:color="BFBFBF" w:sz="1"/>
            </w:tcBorders>
            <w:shd w:fill="FFFFFF" w:val="clear"/>
            <w:tcMar>
              <w:top w:type="dxa" w:w="45"/>
              <w:left w:type="dxa" w:w="100"/>
              <w:bottom w:type="dxa" w:w="45"/>
              <w:right w:type="dxa" w:w="100"/>
            </w:tcMar>
            <w:vAlign w:val="center"/>
          </w:tcPr>
          <w:p>
            <w:pPr>
              <w:jc w:val="center"/>
            </w:pPr>
            <w:r>
              <w:rPr>
                <w:b w:val="false"/>
                <w:bCs w:val="false"/>
                <w:sz w:val="17"/>
                <w:szCs w:val="17"/>
              </w:rPr>
              <w:t xml:space="preserve">$2,322,001</w:t>
            </w:r>
          </w:p>
        </w:tc>
        <w:tc>
          <w:tcPr>
            <w:tcW w:type="dxa" w:w="3120"/>
            <w:tcBorders>
              <w:top w:val="single" w:color="BFBFBF" w:sz="1"/>
              <w:left w:val="single" w:color="BFBFBF" w:sz="1"/>
              <w:bottom w:val="single" w:color="BFBFBF" w:sz="1"/>
              <w:right w:val="single" w:color="BFBFBF" w:sz="1"/>
            </w:tcBorders>
            <w:shd w:fill="FFFFFF" w:val="clear"/>
            <w:tcMar>
              <w:top w:type="dxa" w:w="45"/>
              <w:left w:type="dxa" w:w="100"/>
              <w:bottom w:type="dxa" w:w="45"/>
              <w:right w:type="dxa" w:w="100"/>
            </w:tcMar>
            <w:vAlign w:val="center"/>
          </w:tcPr>
          <w:p>
            <w:pPr>
              <w:jc w:val="center"/>
            </w:pPr>
            <w:r>
              <w:rPr>
                <w:b w:val="false"/>
                <w:bCs w:val="false"/>
                <w:sz w:val="17"/>
                <w:szCs w:val="17"/>
              </w:rPr>
              <w:t xml:space="preserve"/>
            </w:r>
          </w:p>
        </w:tc>
      </w:tr>
      <w:tr>
        <w:tc>
          <w:tcPr>
            <w:tcW w:type="dxa" w:w="3120"/>
            <w:tcBorders>
              <w:top w:val="single" w:color="BFBFBF" w:sz="1"/>
              <w:left w:val="single" w:color="BFBFBF" w:sz="1"/>
              <w:bottom w:val="single" w:color="BFBFBF" w:sz="1"/>
              <w:right w:val="single" w:color="BFBFBF" w:sz="1"/>
            </w:tcBorders>
            <w:shd w:fill="EEF3FB" w:val="clear"/>
            <w:tcMar>
              <w:top w:type="dxa" w:w="45"/>
              <w:left w:type="dxa" w:w="100"/>
              <w:bottom w:type="dxa" w:w="45"/>
              <w:right w:type="dxa" w:w="100"/>
            </w:tcMar>
            <w:vAlign w:val="center"/>
          </w:tcPr>
          <w:p>
            <w:pPr>
              <w:jc w:val="left"/>
            </w:pPr>
            <w:r>
              <w:rPr>
                <w:b/>
                <w:bCs/>
                <w:sz w:val="17"/>
                <w:szCs w:val="17"/>
              </w:rPr>
              <w:t xml:space="preserve">2012-11-16</w:t>
            </w:r>
          </w:p>
        </w:tc>
        <w:tc>
          <w:tcPr>
            <w:tcW w:type="dxa" w:w="3120"/>
            <w:tcBorders>
              <w:top w:val="single" w:color="BFBFBF" w:sz="1"/>
              <w:left w:val="single" w:color="BFBFBF" w:sz="1"/>
              <w:bottom w:val="single" w:color="BFBFBF" w:sz="1"/>
              <w:right w:val="single" w:color="BFBFBF" w:sz="1"/>
            </w:tcBorders>
            <w:shd w:fill="EEF3FB" w:val="clear"/>
            <w:tcMar>
              <w:top w:type="dxa" w:w="45"/>
              <w:left w:type="dxa" w:w="100"/>
              <w:bottom w:type="dxa" w:w="45"/>
              <w:right w:type="dxa" w:w="100"/>
            </w:tcMar>
            <w:vAlign w:val="center"/>
          </w:tcPr>
          <w:p>
            <w:pPr>
              <w:jc w:val="center"/>
            </w:pPr>
            <w:r>
              <w:rPr>
                <w:b w:val="false"/>
                <w:bCs w:val="false"/>
                <w:sz w:val="17"/>
                <w:szCs w:val="17"/>
              </w:rPr>
              <w:t xml:space="preserve">$2,266,757</w:t>
            </w:r>
          </w:p>
        </w:tc>
        <w:tc>
          <w:tcPr>
            <w:tcW w:type="dxa" w:w="3120"/>
            <w:tcBorders>
              <w:top w:val="single" w:color="BFBFBF" w:sz="1"/>
              <w:left w:val="single" w:color="BFBFBF" w:sz="1"/>
              <w:bottom w:val="single" w:color="BFBFBF" w:sz="1"/>
              <w:right w:val="single" w:color="BFBFBF" w:sz="1"/>
            </w:tcBorders>
            <w:shd w:fill="EEF3FB" w:val="clear"/>
            <w:tcMar>
              <w:top w:type="dxa" w:w="45"/>
              <w:left w:type="dxa" w:w="100"/>
              <w:bottom w:type="dxa" w:w="45"/>
              <w:right w:type="dxa" w:w="100"/>
            </w:tcMar>
            <w:vAlign w:val="center"/>
          </w:tcPr>
          <w:p>
            <w:pPr>
              <w:jc w:val="center"/>
            </w:pPr>
            <w:r>
              <w:rPr>
                <w:b w:val="false"/>
                <w:bCs w:val="false"/>
                <w:sz w:val="17"/>
                <w:szCs w:val="17"/>
              </w:rPr>
              <w:t xml:space="preserve"/>
            </w:r>
          </w:p>
        </w:tc>
      </w:tr>
      <w:tr>
        <w:tc>
          <w:tcPr>
            <w:tcW w:type="dxa" w:w="3120"/>
            <w:tcBorders>
              <w:top w:val="single" w:color="BFBFBF" w:sz="1"/>
              <w:left w:val="single" w:color="BFBFBF" w:sz="1"/>
              <w:bottom w:val="single" w:color="BFBFBF" w:sz="1"/>
              <w:right w:val="single" w:color="BFBFBF" w:sz="1"/>
            </w:tcBorders>
            <w:shd w:fill="FFFFFF" w:val="clear"/>
            <w:tcMar>
              <w:top w:type="dxa" w:w="45"/>
              <w:left w:type="dxa" w:w="100"/>
              <w:bottom w:type="dxa" w:w="45"/>
              <w:right w:type="dxa" w:w="100"/>
            </w:tcMar>
            <w:vAlign w:val="center"/>
          </w:tcPr>
          <w:p>
            <w:pPr>
              <w:jc w:val="left"/>
            </w:pPr>
            <w:r>
              <w:rPr>
                <w:b/>
                <w:bCs/>
                <w:sz w:val="17"/>
                <w:szCs w:val="17"/>
              </w:rPr>
              <w:t xml:space="preserve">2012-11-23</w:t>
            </w:r>
          </w:p>
        </w:tc>
        <w:tc>
          <w:tcPr>
            <w:tcW w:type="dxa" w:w="3120"/>
            <w:tcBorders>
              <w:top w:val="single" w:color="BFBFBF" w:sz="1"/>
              <w:left w:val="single" w:color="BFBFBF" w:sz="1"/>
              <w:bottom w:val="single" w:color="BFBFBF" w:sz="1"/>
              <w:right w:val="single" w:color="BFBFBF" w:sz="1"/>
            </w:tcBorders>
            <w:shd w:fill="FFFFFF" w:val="clear"/>
            <w:tcMar>
              <w:top w:type="dxa" w:w="45"/>
              <w:left w:type="dxa" w:w="100"/>
              <w:bottom w:type="dxa" w:w="45"/>
              <w:right w:type="dxa" w:w="100"/>
            </w:tcMar>
            <w:vAlign w:val="center"/>
          </w:tcPr>
          <w:p>
            <w:pPr>
              <w:jc w:val="center"/>
            </w:pPr>
            <w:r>
              <w:rPr>
                <w:b w:val="false"/>
                <w:bCs w:val="false"/>
                <w:sz w:val="17"/>
                <w:szCs w:val="17"/>
              </w:rPr>
              <w:t xml:space="preserve">$2,931,015</w:t>
            </w:r>
          </w:p>
        </w:tc>
        <w:tc>
          <w:tcPr>
            <w:tcW w:type="dxa" w:w="3120"/>
            <w:tcBorders>
              <w:top w:val="single" w:color="BFBFBF" w:sz="1"/>
              <w:left w:val="single" w:color="BFBFBF" w:sz="1"/>
              <w:bottom w:val="single" w:color="BFBFBF" w:sz="1"/>
              <w:right w:val="single" w:color="BFBFBF" w:sz="1"/>
            </w:tcBorders>
            <w:shd w:fill="FFFFFF" w:val="clear"/>
            <w:tcMar>
              <w:top w:type="dxa" w:w="45"/>
              <w:left w:type="dxa" w:w="100"/>
              <w:bottom w:type="dxa" w:w="45"/>
              <w:right w:type="dxa" w:w="100"/>
            </w:tcMar>
            <w:vAlign w:val="center"/>
          </w:tcPr>
          <w:p>
            <w:pPr>
              <w:jc w:val="center"/>
            </w:pPr>
            <w:r>
              <w:rPr>
                <w:b w:val="false"/>
                <w:bCs w:val="false"/>
                <w:sz w:val="17"/>
                <w:szCs w:val="17"/>
              </w:rPr>
              <w:t xml:space="preserve">Thanksgiving</w:t>
            </w:r>
          </w:p>
        </w:tc>
      </w:tr>
      <w:tr>
        <w:tc>
          <w:tcPr>
            <w:tcW w:type="dxa" w:w="3120"/>
            <w:tcBorders>
              <w:top w:val="single" w:color="BFBFBF" w:sz="1"/>
              <w:left w:val="single" w:color="BFBFBF" w:sz="1"/>
              <w:bottom w:val="single" w:color="BFBFBF" w:sz="1"/>
              <w:right w:val="single" w:color="BFBFBF" w:sz="1"/>
            </w:tcBorders>
            <w:shd w:fill="EEF3FB" w:val="clear"/>
            <w:tcMar>
              <w:top w:type="dxa" w:w="45"/>
              <w:left w:type="dxa" w:w="100"/>
              <w:bottom w:type="dxa" w:w="45"/>
              <w:right w:type="dxa" w:w="100"/>
            </w:tcMar>
            <w:vAlign w:val="center"/>
          </w:tcPr>
          <w:p>
            <w:pPr>
              <w:jc w:val="left"/>
            </w:pPr>
            <w:r>
              <w:rPr>
                <w:b/>
                <w:bCs/>
                <w:sz w:val="17"/>
                <w:szCs w:val="17"/>
              </w:rPr>
              <w:t xml:space="preserve">2012-12-21</w:t>
            </w:r>
          </w:p>
        </w:tc>
        <w:tc>
          <w:tcPr>
            <w:tcW w:type="dxa" w:w="3120"/>
            <w:tcBorders>
              <w:top w:val="single" w:color="BFBFBF" w:sz="1"/>
              <w:left w:val="single" w:color="BFBFBF" w:sz="1"/>
              <w:bottom w:val="single" w:color="BFBFBF" w:sz="1"/>
              <w:right w:val="single" w:color="BFBFBF" w:sz="1"/>
            </w:tcBorders>
            <w:shd w:fill="EEF3FB" w:val="clear"/>
            <w:tcMar>
              <w:top w:type="dxa" w:w="45"/>
              <w:left w:type="dxa" w:w="100"/>
              <w:bottom w:type="dxa" w:w="45"/>
              <w:right w:type="dxa" w:w="100"/>
            </w:tcMar>
            <w:vAlign w:val="center"/>
          </w:tcPr>
          <w:p>
            <w:pPr>
              <w:jc w:val="center"/>
            </w:pPr>
            <w:r>
              <w:rPr>
                <w:b w:val="false"/>
                <w:bCs w:val="false"/>
                <w:sz w:val="17"/>
                <w:szCs w:val="17"/>
              </w:rPr>
              <w:t xml:space="preserve">$3,612,907</w:t>
            </w:r>
          </w:p>
        </w:tc>
        <w:tc>
          <w:tcPr>
            <w:tcW w:type="dxa" w:w="3120"/>
            <w:tcBorders>
              <w:top w:val="single" w:color="BFBFBF" w:sz="1"/>
              <w:left w:val="single" w:color="BFBFBF" w:sz="1"/>
              <w:bottom w:val="single" w:color="BFBFBF" w:sz="1"/>
              <w:right w:val="single" w:color="BFBFBF" w:sz="1"/>
            </w:tcBorders>
            <w:shd w:fill="EEF3FB" w:val="clear"/>
            <w:tcMar>
              <w:top w:type="dxa" w:w="45"/>
              <w:left w:type="dxa" w:w="100"/>
              <w:bottom w:type="dxa" w:w="45"/>
              <w:right w:type="dxa" w:w="100"/>
            </w:tcMar>
            <w:vAlign w:val="center"/>
          </w:tcPr>
          <w:p>
            <w:pPr>
              <w:jc w:val="center"/>
            </w:pPr>
            <w:r>
              <w:rPr>
                <w:b w:val="false"/>
                <w:bCs w:val="false"/>
                <w:sz w:val="17"/>
                <w:szCs w:val="17"/>
              </w:rPr>
              <w:t xml:space="preserve">Christmas peak</w:t>
            </w:r>
          </w:p>
        </w:tc>
      </w:tr>
      <w:tr>
        <w:tc>
          <w:tcPr>
            <w:tcW w:type="dxa" w:w="3120"/>
            <w:tcBorders>
              <w:top w:val="single" w:color="BFBFBF" w:sz="1"/>
              <w:left w:val="single" w:color="BFBFBF" w:sz="1"/>
              <w:bottom w:val="single" w:color="BFBFBF" w:sz="1"/>
              <w:right w:val="single" w:color="BFBFBF" w:sz="1"/>
            </w:tcBorders>
            <w:shd w:fill="FFFFFF" w:val="clear"/>
            <w:tcMar>
              <w:top w:type="dxa" w:w="45"/>
              <w:left w:type="dxa" w:w="100"/>
              <w:bottom w:type="dxa" w:w="45"/>
              <w:right w:type="dxa" w:w="100"/>
            </w:tcMar>
            <w:vAlign w:val="center"/>
          </w:tcPr>
          <w:p>
            <w:pPr>
              <w:jc w:val="left"/>
            </w:pPr>
            <w:r>
              <w:rPr>
                <w:b/>
                <w:bCs/>
                <w:sz w:val="17"/>
                <w:szCs w:val="17"/>
              </w:rPr>
              <w:t xml:space="preserve">2012-12-28</w:t>
            </w:r>
          </w:p>
        </w:tc>
        <w:tc>
          <w:tcPr>
            <w:tcW w:type="dxa" w:w="3120"/>
            <w:tcBorders>
              <w:top w:val="single" w:color="BFBFBF" w:sz="1"/>
              <w:left w:val="single" w:color="BFBFBF" w:sz="1"/>
              <w:bottom w:val="single" w:color="BFBFBF" w:sz="1"/>
              <w:right w:val="single" w:color="BFBFBF" w:sz="1"/>
            </w:tcBorders>
            <w:shd w:fill="FFFFFF" w:val="clear"/>
            <w:tcMar>
              <w:top w:type="dxa" w:w="45"/>
              <w:left w:type="dxa" w:w="100"/>
              <w:bottom w:type="dxa" w:w="45"/>
              <w:right w:type="dxa" w:w="100"/>
            </w:tcMar>
            <w:vAlign w:val="center"/>
          </w:tcPr>
          <w:p>
            <w:pPr>
              <w:jc w:val="center"/>
            </w:pPr>
            <w:r>
              <w:rPr>
                <w:b w:val="false"/>
                <w:bCs w:val="false"/>
                <w:sz w:val="17"/>
                <w:szCs w:val="17"/>
              </w:rPr>
              <w:t xml:space="preserve">$2,089,182</w:t>
            </w:r>
          </w:p>
        </w:tc>
        <w:tc>
          <w:tcPr>
            <w:tcW w:type="dxa" w:w="3120"/>
            <w:tcBorders>
              <w:top w:val="single" w:color="BFBFBF" w:sz="1"/>
              <w:left w:val="single" w:color="BFBFBF" w:sz="1"/>
              <w:bottom w:val="single" w:color="BFBFBF" w:sz="1"/>
              <w:right w:val="single" w:color="BFBFBF" w:sz="1"/>
            </w:tcBorders>
            <w:shd w:fill="FFFFFF" w:val="clear"/>
            <w:tcMar>
              <w:top w:type="dxa" w:w="45"/>
              <w:left w:type="dxa" w:w="100"/>
              <w:bottom w:type="dxa" w:w="45"/>
              <w:right w:type="dxa" w:w="100"/>
            </w:tcMar>
            <w:vAlign w:val="center"/>
          </w:tcPr>
          <w:p>
            <w:pPr>
              <w:jc w:val="center"/>
            </w:pPr>
            <w:r>
              <w:rPr>
                <w:b w:val="false"/>
                <w:bCs w:val="false"/>
                <w:sz w:val="17"/>
                <w:szCs w:val="17"/>
              </w:rPr>
              <w:t xml:space="preserve">Post-holiday</w:t>
            </w:r>
          </w:p>
        </w:tc>
      </w:tr>
    </w:tbl>
    <w:p>
      <w:pPr>
        <w:pStyle w:val="Heading1"/>
        <w:pageBreakBefore/>
        <w:spacing w:after="150" w:before="240"/>
      </w:pPr>
      <w:r>
        <w:t xml:space="preserve">8. Conclusions &amp; Recommendations</w:t>
      </w:r>
    </w:p>
    <w:p>
      <w:pPr>
        <w:spacing w:after="120" w:line="276"/>
        <w:jc w:val="both"/>
      </w:pPr>
      <w:r>
        <w:t xml:space="preserve">The analysis converts three years of weekly sales into a clear, actionable picture for inventory planning:</w:t>
      </w:r>
    </w:p>
    <w:p>
      <w:pPr>
        <w:pStyle w:val="ListParagraph"/>
        <w:numPr>
          <w:ilvl w:val="0"/>
          <w:numId w:val="2"/>
        </w:numPr>
        <w:spacing w:after="70" w:line="264"/>
      </w:pPr>
      <w:r>
        <w:t xml:space="preserve">Sales are driven by the calendar, not the weather — a strong Nov–Dec seasonal peak dominates, while temperature and fuel price are negligible.</w:t>
      </w:r>
    </w:p>
    <w:p>
      <w:pPr>
        <w:pStyle w:val="ListParagraph"/>
        <w:numPr>
          <w:ilvl w:val="0"/>
          <w:numId w:val="2"/>
        </w:numPr>
        <w:spacing w:after="70" w:line="264"/>
      </w:pPr>
      <w:r>
        <w:t xml:space="preserve">Macro factors (unemployment, CPI) matter at the store level, not chain-wide: stores 38 and 44 are unemployment-sensitive; 36, 35 and 14 are price-sensitive.</w:t>
      </w:r>
    </w:p>
    <w:p>
      <w:pPr>
        <w:pStyle w:val="ListParagraph"/>
        <w:numPr>
          <w:ilvl w:val="0"/>
          <w:numId w:val="2"/>
        </w:numPr>
        <w:spacing w:after="70" w:line="264"/>
      </w:pPr>
      <w:r>
        <w:t xml:space="preserve">Store performance is highly unequal — Store 20 sells ~8× Store 33 — a statistically significant structural gap that should guide store-level inventory and format decisions.</w:t>
      </w:r>
    </w:p>
    <w:p>
      <w:pPr>
        <w:pStyle w:val="ListParagraph"/>
        <w:numPr>
          <w:ilvl w:val="0"/>
          <w:numId w:val="2"/>
        </w:numPr>
        <w:spacing w:after="70" w:line="264"/>
      </w:pPr>
      <w:r>
        <w:rPr>
          <w:b/>
          <w:bCs/>
        </w:rPr>
        <w:t xml:space="preserve">Forecasting (revised): </w:t>
      </w:r>
      <w:r>
        <w:t xml:space="preserve">each store is forecast with SARIMA (seasonal ARIMA, m = 52), validated by a 12-week backtest (mean MAPE ≈ 2.7%, beating ARIMA and Holt-Winters). A 12-week forecast with confidence bands is produced for all 45 stores for inventory planning.</w:t>
      </w:r>
    </w:p>
    <w:p>
      <w:pPr>
        <w:spacing w:after="120" w:line="276"/>
        <w:jc w:val="both"/>
      </w:pPr>
      <w:r>
        <w:rPr>
          <w:b/>
          <w:bCs/>
        </w:rPr>
        <w:t xml:space="preserve">Recommendation: </w:t>
      </w:r>
      <w:r>
        <w:t xml:space="preserve">drive the replenishment plan from the per-store SARIMA forecasts — build holiday stock early for the flagship stores (20, 4, 14, 13, 2), right-size inventory for the smallest stores, and protect unemployment- and price-sensitive stores with targeted promotions.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5"/>
        <w:szCs w:val="15"/>
      </w:rPr>
      <w:t xml:space="preserve">Page </w:t>
    </w:r>
    <w:r>
      <w:rPr>
        <w:color w:val="595959"/>
        <w:sz w:val="15"/>
        <w:szCs w:val="15"/>
      </w:rPr>
      <w:fldChar w:fldCharType="begin"/>
      <w:instrText xml:space="preserve">PAGE</w:instrText>
      <w:fldChar w:fldCharType="separate"/>
      <w:fldChar w:fldCharType="end"/>
    </w:r>
    <w:r>
      <w:rPr>
        <w:color w:val="595959"/>
        <w:sz w:val="15"/>
        <w:szCs w:val="15"/>
      </w:rPr>
      <w:t xml:space="preserve"> of </w:t>
    </w:r>
    <w:r>
      <w:rPr>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jc w:val="right"/>
    </w:pPr>
    <w:r>
      <w:rPr>
        <w:color w:val="595959"/>
        <w:sz w:val="15"/>
        <w:szCs w:val="15"/>
      </w:rPr>
      <w:t xml:space="preserve">Walmart Sales Forecasting — Ankit Saxena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50" w:before="24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90" w:before="180"/>
      <w:outlineLvl w:val="1"/>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ae8fa59d39abf12fd562550a5c4ee6f1c84738b.png"/><Relationship Id="rId10" Type="http://schemas.openxmlformats.org/officeDocument/2006/relationships/image" Target="media/ba2f7d1706d0fb6541972825967c99accd45e53c.png"/><Relationship Id="rId11" Type="http://schemas.openxmlformats.org/officeDocument/2006/relationships/image" Target="media/09686d99b2e500a04a2930233f5b09b5ef497c0c.png"/><Relationship Id="rId12" Type="http://schemas.openxmlformats.org/officeDocument/2006/relationships/image" Target="media/11fb7db675b9d7d7866774b77c0660f2ac73ca35.png"/><Relationship Id="rId13" Type="http://schemas.openxmlformats.org/officeDocument/2006/relationships/image" Target="media/474834fc00c3dd606b33153fff2ba98dd04a1284.png"/><Relationship Id="rId14" Type="http://schemas.openxmlformats.org/officeDocument/2006/relationships/image" Target="media/8362563a1f4349bbbd275a35d013dd676c5c572f.png"/><Relationship Id="rId15" Type="http://schemas.openxmlformats.org/officeDocument/2006/relationships/image" Target="media/2d30454752777bbbfaa8601555b111db16bd6e5f.png"/><Relationship Id="rId16" Type="http://schemas.openxmlformats.org/officeDocument/2006/relationships/image" Target="media/50def2daa447210f2e61b47978ec9f894f5c2c84.png"/><Relationship Id="rId17" Type="http://schemas.openxmlformats.org/officeDocument/2006/relationships/image" Target="media/b1ce133b7f9d2677f5e02ad2e2d9e7a5e0e64f02.png"/><Relationship Id="rId18" Type="http://schemas.openxmlformats.org/officeDocument/2006/relationships/image" Target="media/6c72001bdfedef64dbd9b7f29d1e84fb29571c22.png"/><Relationship Id="rId19" Type="http://schemas.openxmlformats.org/officeDocument/2006/relationships/image" Target="media/256a2a6ddaf19725e976b8fee0d111ee67480751.png"/><Relationship Id="rId20" Type="http://schemas.openxmlformats.org/officeDocument/2006/relationships/image" Target="media/2416a5fd3f0b829802bbfb501f96fcab790d6e81.png"/><Relationship Id="rId21" Type="http://schemas.openxmlformats.org/officeDocument/2006/relationships/image" Target="media/2feb264f57b9c84de59199822abcd206670d6f52.png"/><Relationship Id="rId22" Type="http://schemas.openxmlformats.org/officeDocument/2006/relationships/image" Target="media/d9c2f6b6a88a603c2139608a9e48d86b25188d0d.png"/><Relationship Id="rId23" Type="http://schemas.openxmlformats.org/officeDocument/2006/relationships/image" Target="media/d581fbfbd28252696205f8ebe8e93cff89bc2671.png"/><Relationship Id="rId24" Type="http://schemas.openxmlformats.org/officeDocument/2006/relationships/image" Target="media/e595de38beffd5f8a44154514d1cad7ebd26a5cd.png"/><Relationship Id="rId25" Type="http://schemas.openxmlformats.org/officeDocument/2006/relationships/image" Target="media/3f5b716562f0813fe39f76a07ec76c01cb283a4f.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Walmart Sales Forecasting — Capstone Report (Revised)</dc:title>
  <dc:creator>Ankit Saxena</dc:creator>
  <cp:lastModifiedBy>Un-named</cp:lastModifiedBy>
  <cp:revision>1</cp:revision>
  <dcterms:created xsi:type="dcterms:W3CDTF">2026-06-22T16:05:32.615Z</dcterms:created>
  <dcterms:modified xsi:type="dcterms:W3CDTF">2026-06-22T16:05:32.615Z</dcterms:modified>
</cp:coreProperties>
</file>

<file path=docProps/custom.xml><?xml version="1.0" encoding="utf-8"?>
<Properties xmlns="http://schemas.openxmlformats.org/officeDocument/2006/custom-properties" xmlns:vt="http://schemas.openxmlformats.org/officeDocument/2006/docPropsVTypes"/>
</file>