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B66DDF" w:rsidRPr="002D04CA" w:rsidRDefault="00000000" w:rsidP="002D04CA">
      <w:pPr>
        <w:spacing w:before="240" w:after="240" w:line="360" w:lineRule="auto"/>
        <w:jc w:val="center"/>
        <w:rPr>
          <w:rFonts w:ascii="Times New Roman" w:eastAsia="Times New Roman" w:hAnsi="Times New Roman" w:cs="Times New Roman"/>
          <w:b/>
          <w:bCs/>
          <w:sz w:val="32"/>
          <w:szCs w:val="32"/>
        </w:rPr>
      </w:pPr>
      <w:r w:rsidRPr="002D04CA">
        <w:rPr>
          <w:rFonts w:ascii="Times New Roman" w:eastAsia="Times New Roman" w:hAnsi="Times New Roman" w:cs="Times New Roman"/>
          <w:b/>
          <w:bCs/>
          <w:sz w:val="32"/>
          <w:szCs w:val="32"/>
        </w:rPr>
        <w:t>Inside the Government’s North East Security Strategy</w:t>
      </w:r>
    </w:p>
    <w:p w14:paraId="00000004" w14:textId="3875C5E1" w:rsidR="00B66DDF" w:rsidRPr="002D04CA" w:rsidRDefault="00000000" w:rsidP="002D04CA">
      <w:pPr>
        <w:spacing w:before="240" w:after="240" w:line="360" w:lineRule="auto"/>
        <w:jc w:val="center"/>
        <w:rPr>
          <w:rFonts w:ascii="Times New Roman" w:eastAsia="Times New Roman" w:hAnsi="Times New Roman" w:cs="Times New Roman"/>
          <w:b/>
          <w:bCs/>
          <w:i/>
          <w:iCs/>
          <w:sz w:val="24"/>
          <w:szCs w:val="24"/>
        </w:rPr>
      </w:pPr>
      <w:r w:rsidRPr="002D04CA">
        <w:rPr>
          <w:rFonts w:ascii="Times New Roman" w:eastAsia="Times New Roman" w:hAnsi="Times New Roman" w:cs="Times New Roman"/>
          <w:b/>
          <w:bCs/>
          <w:i/>
          <w:iCs/>
          <w:sz w:val="24"/>
          <w:szCs w:val="24"/>
        </w:rPr>
        <w:t>Brig</w:t>
      </w:r>
      <w:r w:rsidR="00BA7F5C">
        <w:rPr>
          <w:rFonts w:ascii="Times New Roman" w:eastAsia="Times New Roman" w:hAnsi="Times New Roman" w:cs="Times New Roman"/>
          <w:b/>
          <w:bCs/>
          <w:i/>
          <w:iCs/>
          <w:sz w:val="24"/>
          <w:szCs w:val="24"/>
        </w:rPr>
        <w:t>adier</w:t>
      </w:r>
      <w:r w:rsidRPr="002D04CA">
        <w:rPr>
          <w:rFonts w:ascii="Times New Roman" w:eastAsia="Times New Roman" w:hAnsi="Times New Roman" w:cs="Times New Roman"/>
          <w:b/>
          <w:bCs/>
          <w:i/>
          <w:iCs/>
          <w:sz w:val="24"/>
          <w:szCs w:val="24"/>
        </w:rPr>
        <w:t xml:space="preserve"> Brijesh Dhiman (Retd.)</w:t>
      </w:r>
    </w:p>
    <w:p w14:paraId="00000005" w14:textId="77777777" w:rsidR="00B66DDF" w:rsidRPr="002D04CA" w:rsidRDefault="00B66DDF" w:rsidP="002D04CA">
      <w:pPr>
        <w:spacing w:before="240" w:after="240" w:line="360" w:lineRule="auto"/>
        <w:jc w:val="both"/>
        <w:rPr>
          <w:rFonts w:ascii="Times New Roman" w:eastAsia="Times New Roman" w:hAnsi="Times New Roman" w:cs="Times New Roman"/>
          <w:b/>
          <w:bCs/>
          <w:sz w:val="24"/>
          <w:szCs w:val="24"/>
        </w:rPr>
      </w:pPr>
    </w:p>
    <w:p w14:paraId="00000007" w14:textId="77777777"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Introduction</w:t>
      </w:r>
    </w:p>
    <w:p w14:paraId="00000008" w14:textId="2CDCB7D2"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For over five decades, India’s North East has been viewed primarily through the prism of insurgency. Armed separatist movements, ethnic militias, cross-border sanctuaries, and parallel political structures have influenced institutional security practices and public discourse</w:t>
      </w:r>
      <w:r w:rsidR="002D04CA" w:rsidRPr="002D04CA">
        <w:rPr>
          <w:rFonts w:ascii="Times New Roman" w:eastAsia="Times New Roman" w:hAnsi="Times New Roman" w:cs="Times New Roman"/>
          <w:sz w:val="24"/>
          <w:szCs w:val="24"/>
        </w:rPr>
        <w:t xml:space="preserve">. </w:t>
      </w:r>
      <w:r w:rsidRPr="002D04CA">
        <w:rPr>
          <w:rFonts w:ascii="Times New Roman" w:eastAsia="Times New Roman" w:hAnsi="Times New Roman" w:cs="Times New Roman"/>
          <w:sz w:val="24"/>
          <w:szCs w:val="24"/>
        </w:rPr>
        <w:t>This perception justified the use of special security legislation such as the Armed Forces (Special Powers) Act (AFSPA), sustained military deployment, and a counter-insurgency-centric governance model</w:t>
      </w:r>
      <w:r w:rsidR="002D04CA" w:rsidRPr="002D04CA">
        <w:rPr>
          <w:rFonts w:ascii="Times New Roman" w:eastAsia="Times New Roman" w:hAnsi="Times New Roman" w:cs="Times New Roman"/>
          <w:sz w:val="24"/>
          <w:szCs w:val="24"/>
        </w:rPr>
        <w:t xml:space="preserve">. </w:t>
      </w:r>
      <w:r w:rsidRPr="002D04CA">
        <w:rPr>
          <w:rFonts w:ascii="Times New Roman" w:eastAsia="Times New Roman" w:hAnsi="Times New Roman" w:cs="Times New Roman"/>
          <w:sz w:val="24"/>
          <w:szCs w:val="24"/>
        </w:rPr>
        <w:t>However, contemporary realities suggest that this framing is increasingly inadequate for understanding the region’s evolving security environment and lasting peace.</w:t>
      </w:r>
    </w:p>
    <w:p w14:paraId="00000009" w14:textId="18C0504E"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Official data from the Ministry of Home Affairs (MHA) indicates a sustained and substantial decline in insurgency-related activity across the North East over the past decade, including significant reductions in both civilian and security force fatalities. This trend reflects the cumulative impact of prolonged counter-insurgency operations, political settlements, and improved internal security governance. It represents one of the most significant internal security turnarounds in independent India. Yet paradoxically, the region continues to experience periodic turbulence, most visibly in Manipur since 2023, characterised by ethnic violence, mass displacement, and community-level militarisation, necessitating a review through this article.</w:t>
      </w:r>
    </w:p>
    <w:p w14:paraId="0000000A"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This contradiction highlights the central policy dilemma that whilst India has become highly effective at suppressing organised armed groups, it remains less successful at preventing the regeneration of violence through unresolved political grievances, governance deficits, and societal fragmentation. The strategic task today is no longer limited to defeating insurgents; it lies in converting security gains into sustainable political legitimacy and social cohesion.</w:t>
      </w:r>
    </w:p>
    <w:p w14:paraId="0000000C" w14:textId="77777777"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Reclassifying Non-State Actors: From Insurgency to Hybrid Threats</w:t>
      </w:r>
    </w:p>
    <w:p w14:paraId="0000000D" w14:textId="2A84C0B1"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Classical insurgency is conventionally understood as an organised armed movement seeking to overthrow or challenge state authority through sustained political violence. By this </w:t>
      </w:r>
      <w:r w:rsidRPr="002D04CA">
        <w:rPr>
          <w:rFonts w:ascii="Times New Roman" w:eastAsia="Times New Roman" w:hAnsi="Times New Roman" w:cs="Times New Roman"/>
          <w:sz w:val="24"/>
          <w:szCs w:val="24"/>
        </w:rPr>
        <w:lastRenderedPageBreak/>
        <w:t>definition, only Manipur and parts of Nagaland continue to qualify as insurgency theatres in contemporary India. However, contemporary non-state actors increasingly operate in fluid, hybrid forms that combine elements of militancy, organised crime, identity mobilisation, and information warfare. These actors may not seek territorial control or political sovereignty, yet retain the capacity to destabilise governance through coercion, extortion, and narrative manipulation. Reclassifying non-state actors beyond the traditional insurgency framework is therefore essential for developing appropriate policy responses, as strategies designed for ideological rebellion are often ill-suited to addressing fragmented, networked, and criminalised threat environments, with external support.</w:t>
      </w:r>
    </w:p>
    <w:p w14:paraId="0000000E"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Manipur represents a hybrid conflict zone, combining residual valley-based insurgent groups (Meitei Groups such as PLA, PREPAK, and KCP factions) with large-scale ethnic mobilisation and armed community groups. The signing of the United National Liberation Front (UNLF) peace agreement in 2023, the first such accord involving a major Meitei valley-based insurgent organisation, reflects the decline of ideological insurgency but not the disappearance of armed politics.</w:t>
      </w:r>
    </w:p>
    <w:p w14:paraId="0000000F"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Nagaland remains under a prolonged ceasefire regime with NSCN (IM) and other factions except NSCN (K). MHA records repeated extensions of ceasefire agreements, indicating unresolved political negotiations and the persistence of parallel authority structures. Informal taxation systems and armed political presence continue to exist beneath formal negotiations.</w:t>
      </w:r>
    </w:p>
    <w:p w14:paraId="00000010" w14:textId="41E11221"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In contrast, Assam, Tripura, and Meghalaya now face largely criminalised militancy and may be classified as a heightened law and order situation. Groups such as ULFA (Independent) or residual Garo outfits operate primarily through extortion, intimidation, and symbolic violence, lacking mass political legitimacy or territorial ambition. Mizoram stands as a post-insurgency stabilised state, where conflict has been fully mainstreamed into democratic politics and normal civil administration. This is an example the Government needs to emulate for Nagaland.</w:t>
      </w:r>
    </w:p>
    <w:p w14:paraId="00000011"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This differentiation is, thus, strategically critical. Treating all violence as insurgency leads to a stalemate with continued militarisation and emergency governance in areas that now require civilian policing, judicial reform and development-led interventions. Such misclassification not only distorts resource allocation but also delays institutional normalisation, weakens civilian authority, and embeds security-centric frameworks in environments where the primary </w:t>
      </w:r>
      <w:r w:rsidRPr="002D04CA">
        <w:rPr>
          <w:rFonts w:ascii="Times New Roman" w:eastAsia="Times New Roman" w:hAnsi="Times New Roman" w:cs="Times New Roman"/>
          <w:sz w:val="24"/>
          <w:szCs w:val="24"/>
        </w:rPr>
        <w:lastRenderedPageBreak/>
        <w:t>challenges are criminal governance, social fragmentation and administrative capacity. This distinction is often overlooked in official discourse.</w:t>
      </w:r>
    </w:p>
    <w:p w14:paraId="00000013" w14:textId="77777777"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Counter-terror Operations, Neogotiations, and Development Shaped Security Gains</w:t>
      </w:r>
    </w:p>
    <w:p w14:paraId="00000014"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India’s success in reducing insurgency rests on three interlinked pillars: sustained security operations, political settlements and development integration.</w:t>
      </w:r>
    </w:p>
    <w:p w14:paraId="00000016" w14:textId="459C6689"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The Indian Army, Indian Air Force, Central Armed Police Forces (CAPFs), and State Police Services have maintained continuous operational pressure on armed groups. Improved intelligence coordination, border domination, and targeted operations dismantled camps, neutralised leadership networks, and disrupted logistical routes. The gradual scaling back of AFSPA in large parts of Assam, Meghalaya and Tripura suggests growing confidence in civilian law enforcement capabilities and a decline in insurgent activity. Between 2015 and 2025, the violence profile in North East India shows a marked and sustained decline across all key indicators, reflecting the structural weakening of organised insurgency. Security forces fatalities fell from about 49 in 2015 to roughly 2 by 2025, while civilian deaths declined from around 64 to 5, and total fatal incidents dropped from approximately 176 to 23, marking overall reductions of nearly 96 per cent, 92 per cent and 87 per cent, respectively. Although intermittent spikes were observed, most notably in 2023 due to ethnic violence in Manipur, the overall trajectory remains decisively downward. This long-term decline indicates that the North East has largely transitioned from a high-intensity insurgency environment to a low-intensity security landscape characterised by episodic domestic turbulence and criminalised militancy rather than sustained ideological rebellion.</w:t>
      </w:r>
    </w:p>
    <w:p w14:paraId="00000018"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Political settlements have played a decisive role in reducing organised insurgent violence across the North East. The Bodo Accord (2020) mainstreamed over 1,500 cadres, while the Karbi Anglong Agreement (2021) facilitated the rehabilitation of more than 1,000 militants. The Tripura NLFT surrender process similarly brought several hundred former insurgents into the democratic fold. Most symbolically, the UNLF agreement in 2023 marked the first formal renunciation of armed struggle by a major Meitei insurgent group. Collectively, these accords reflect a strategic shift from coercion to co-option, aimed at dismantling militant ecosystems, isolating hardliners, and structurally reducing recruitment incentives by offering political inclusion and institutional legitimacy.</w:t>
      </w:r>
    </w:p>
    <w:p w14:paraId="0000001A"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lastRenderedPageBreak/>
        <w:t>Large development packages and connectivity initiatives have restructured the political economy of the North East by embedding previously peripheral regions into national administrative and market systems. Flagship interventions such as the North East Special Infrastructure Development Scheme (NESIDS), expansion of the Trans-Arunachal and East–West highway corridors, and rail connectivity projects under the Ministry of Development of North Eastern Region (DoNER) have reduced transaction costs and enhanced state presence in remote border districts. Trade initiatives linked to the Act East Policy, including cross-border trade points and logistics hubs, have further integrated local economies with regional markets. Rather than functioning merely as welfare measures, these interventions have altered incentive structures by raising opportunity costs associated with armed mobilisation. Ministry of Home Affairs (MHA) explicitly conceptualise development as a security instrument, linking economic integration with institutional penetration and long-term conflict transformation.</w:t>
      </w:r>
    </w:p>
    <w:p w14:paraId="138657B2" w14:textId="77777777" w:rsidR="002D04CA" w:rsidRPr="002D04CA" w:rsidRDefault="002D04CA" w:rsidP="002D04CA">
      <w:pPr>
        <w:spacing w:before="240" w:after="240" w:line="360" w:lineRule="auto"/>
        <w:jc w:val="both"/>
        <w:rPr>
          <w:rFonts w:ascii="Times New Roman" w:eastAsia="Times New Roman" w:hAnsi="Times New Roman" w:cs="Times New Roman"/>
          <w:i/>
          <w:iCs/>
          <w:sz w:val="24"/>
          <w:szCs w:val="24"/>
        </w:rPr>
      </w:pPr>
    </w:p>
    <w:p w14:paraId="0000001C" w14:textId="335D0B46"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External Support and Cross-Border Sanctuaries</w:t>
      </w:r>
    </w:p>
    <w:p w14:paraId="0000001D"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A critical systemic constraint in the Government’s approach towards non-state actors in North East India lies in the persistence of external material and moral support enabled by cross-border sanctuaries, arms supply networks, and logistical pipelines. Despite sustained counter-insurgency operations and diplomatic engagement, militant groups have historically maintained safe havens in Myanmar and Bangladesh, allowing regrouping, training, and resupply beyond the Indian jurisdiction. MHA threat assessments continue to highlight transnational linkages facilitating arms procurement, narcotics trafficking, and recruitment pipelines, including the inflow of Chinese-manufactured weapons and communications equipment through Southeast Asian black markets. Even after enhanced border surveillance and the suspension of the Indo–Myanmar Free Movement Regime, militant infrastructure remains concentrated along the international borders of Arunachal Pradesh, Nagaland, Manipur, and Mizoram, reflecting the difficulty of neutralising threats rooted in foreign territory.</w:t>
      </w:r>
    </w:p>
    <w:p w14:paraId="0000001E" w14:textId="1C1675D5"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The Indo–Myanmar border remains the principal external sanctuary for armed groups operating in the North East. Remote areas of Myanmar’s Sagaing Region and the Naga Self-Administered Zone continue to host leadership hideouts, logistics hubs, and transit routes for NSCN (IM), NSCN (K), ULFA-Independent, and several Meitei organisations. These spaces, </w:t>
      </w:r>
      <w:r w:rsidRPr="002D04CA">
        <w:rPr>
          <w:rFonts w:ascii="Times New Roman" w:eastAsia="Times New Roman" w:hAnsi="Times New Roman" w:cs="Times New Roman"/>
          <w:sz w:val="24"/>
          <w:szCs w:val="24"/>
        </w:rPr>
        <w:lastRenderedPageBreak/>
        <w:t>weakly governed and integrated into narcotics and arms trafficking corridors, provide insurgent networks with enduring physical and logistical depth. Bangladesh, while no longer hosting large jungle camps after Dhaka’s post-2010 crackdown, continues to function as a financial and facilitation rear base for ULFA-Independent and NDFB remnants through forged documentation, money movement and procurement channels. Because these networks operate across borders, India’s counter-insurgency outcomes depend partly on the political will and enforcement capacity of neighbouring states.</w:t>
      </w:r>
    </w:p>
    <w:p w14:paraId="0000001F" w14:textId="77777777" w:rsidR="00B66DDF" w:rsidRPr="002D04CA" w:rsidRDefault="00B66DDF" w:rsidP="002D04CA">
      <w:pPr>
        <w:spacing w:before="240" w:after="240" w:line="360" w:lineRule="auto"/>
        <w:jc w:val="both"/>
        <w:rPr>
          <w:rFonts w:ascii="Times New Roman" w:eastAsia="Times New Roman" w:hAnsi="Times New Roman" w:cs="Times New Roman"/>
          <w:sz w:val="24"/>
          <w:szCs w:val="24"/>
        </w:rPr>
      </w:pPr>
    </w:p>
    <w:p w14:paraId="00000021" w14:textId="77777777"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The NSCN (IM) Impasse and Its Spillover Effects</w:t>
      </w:r>
    </w:p>
    <w:p w14:paraId="00000022" w14:textId="144EBF4F"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The prolonged failure to resolve the political settlement with the NSCN (IM) has become one of the most consequential structural constraints on peace in North East India. The 2015 Framework Agreement created expectations of a comprehensive political resolution, yet a decade later, the absence of a final settlement has produced a strategic vacuum rather than closure. While violence in Nagaland has remained relatively contained under the ceasefire, the unresolved status of NSCN (IM) continues to provide an ideological anchor and symbolic legitimacy to multiple non-state actors across the region.</w:t>
      </w:r>
      <w:r w:rsidR="002D04CA" w:rsidRPr="002D04CA">
        <w:rPr>
          <w:rFonts w:ascii="Times New Roman" w:eastAsia="Times New Roman" w:hAnsi="Times New Roman" w:cs="Times New Roman"/>
          <w:sz w:val="24"/>
          <w:szCs w:val="24"/>
        </w:rPr>
        <w:t xml:space="preserve"> </w:t>
      </w:r>
      <w:r w:rsidR="002D04CA" w:rsidRPr="002D04CA">
        <w:rPr>
          <w:rFonts w:ascii="Times New Roman" w:eastAsia="Times New Roman" w:hAnsi="Times New Roman" w:cs="Times New Roman"/>
          <w:sz w:val="24"/>
          <w:szCs w:val="24"/>
        </w:rPr>
        <w:t>From a conflict systems perspective, NSCN (IM) functions not merely as a local insurgent group but as a political reference point for other militant formations. As long as its political status remains unresolved and its continued recognition as a negotiating partner of the Government of India, armed rebellion retains ideological legitimacy, signalling to other non-state actors that violence continues to be a viable pathway to political bargaining.</w:t>
      </w:r>
    </w:p>
    <w:p w14:paraId="00000023" w14:textId="344D89D2"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This indirectly enables residual insurgent groups in Manipur, Arunachal Pradesh, and Myanmar border areas to draw ideological justification, moral validation, and, in some cases, logistical facilitation from Naga networks operating under the ceasefire umbrella. The absence of political closure has also allowed NSCN (IM) to maintain parallel administrative structures, including informal taxation and cadre retention, which undermines the state’s monopoly over authority. While the ceasefire has reduced direct violence, it has not dismantled the insurgent political economy or organisational infrastructure. The NSCN (IM) stalemate, therefore, constitutes the structural centre of gravity of conflict in the North East, constraining region-wide stabilisation.</w:t>
      </w:r>
    </w:p>
    <w:p w14:paraId="0610AF49" w14:textId="77777777" w:rsidR="002D04CA" w:rsidRPr="002D04CA" w:rsidRDefault="002D04CA" w:rsidP="002D04CA">
      <w:pPr>
        <w:spacing w:before="240" w:after="240" w:line="360" w:lineRule="auto"/>
        <w:jc w:val="both"/>
        <w:rPr>
          <w:rFonts w:ascii="Times New Roman" w:eastAsia="Times New Roman" w:hAnsi="Times New Roman" w:cs="Times New Roman"/>
          <w:sz w:val="24"/>
          <w:szCs w:val="24"/>
        </w:rPr>
      </w:pPr>
    </w:p>
    <w:p w14:paraId="00000027" w14:textId="24B31A9D"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lastRenderedPageBreak/>
        <w:t>Systemic Constraints and the Case for Institutional Reform</w:t>
      </w:r>
    </w:p>
    <w:p w14:paraId="00000028" w14:textId="185D0CDB" w:rsidR="00B66DDF" w:rsidRPr="002D04CA" w:rsidRDefault="00000000" w:rsidP="002D04CA">
      <w:pPr>
        <w:spacing w:before="240" w:after="240" w:line="360" w:lineRule="auto"/>
        <w:jc w:val="both"/>
        <w:rPr>
          <w:rFonts w:ascii="Times New Roman" w:eastAsia="Times New Roman" w:hAnsi="Times New Roman" w:cs="Times New Roman"/>
          <w:b/>
          <w:bCs/>
          <w:sz w:val="24"/>
          <w:szCs w:val="24"/>
        </w:rPr>
      </w:pPr>
      <w:r w:rsidRPr="002D04CA">
        <w:rPr>
          <w:rFonts w:ascii="Times New Roman" w:eastAsia="Times New Roman" w:hAnsi="Times New Roman" w:cs="Times New Roman"/>
          <w:sz w:val="24"/>
          <w:szCs w:val="24"/>
        </w:rPr>
        <w:t xml:space="preserve">A central limitation in the Government’s approach to non-state actors in </w:t>
      </w:r>
      <w:r w:rsidR="002D04CA" w:rsidRPr="002D04CA">
        <w:rPr>
          <w:rFonts w:ascii="Times New Roman" w:eastAsia="Times New Roman" w:hAnsi="Times New Roman" w:cs="Times New Roman"/>
          <w:sz w:val="24"/>
          <w:szCs w:val="24"/>
        </w:rPr>
        <w:t xml:space="preserve">the </w:t>
      </w:r>
      <w:r w:rsidRPr="002D04CA">
        <w:rPr>
          <w:rFonts w:ascii="Times New Roman" w:eastAsia="Times New Roman" w:hAnsi="Times New Roman" w:cs="Times New Roman"/>
          <w:sz w:val="24"/>
          <w:szCs w:val="24"/>
        </w:rPr>
        <w:t xml:space="preserve">North East </w:t>
      </w:r>
      <w:r w:rsidR="002D04CA" w:rsidRPr="002D04CA">
        <w:rPr>
          <w:rFonts w:ascii="Times New Roman" w:eastAsia="Times New Roman" w:hAnsi="Times New Roman" w:cs="Times New Roman"/>
          <w:sz w:val="24"/>
          <w:szCs w:val="24"/>
        </w:rPr>
        <w:t xml:space="preserve">is </w:t>
      </w:r>
      <w:r w:rsidRPr="002D04CA">
        <w:rPr>
          <w:rFonts w:ascii="Times New Roman" w:eastAsia="Times New Roman" w:hAnsi="Times New Roman" w:cs="Times New Roman"/>
          <w:sz w:val="24"/>
          <w:szCs w:val="24"/>
        </w:rPr>
        <w:t xml:space="preserve">a broad insurgency lens for security situations that vary widely across the </w:t>
      </w:r>
      <w:r w:rsidR="002D04CA" w:rsidRPr="002D04CA">
        <w:rPr>
          <w:rFonts w:ascii="Times New Roman" w:eastAsia="Times New Roman" w:hAnsi="Times New Roman" w:cs="Times New Roman"/>
          <w:sz w:val="24"/>
          <w:szCs w:val="24"/>
        </w:rPr>
        <w:t>region</w:t>
      </w:r>
      <w:r w:rsidRPr="002D04CA">
        <w:rPr>
          <w:rFonts w:ascii="Times New Roman" w:eastAsia="Times New Roman" w:hAnsi="Times New Roman" w:cs="Times New Roman"/>
          <w:sz w:val="24"/>
          <w:szCs w:val="24"/>
        </w:rPr>
        <w:t xml:space="preserve">. Manipur and parts of Nagaland continue to show signs of organised political insurgency, but in several other States such as Assam, Meghalaya, and Tripura, the unrest often resembles criminal activities driven by extortion and intimidation. The use of AFSPA in areas where insurgent activity has declined and has been recognised by the Ministry of Home Affairs (MHA) can slow down political normalisation. Alongside this, the Government’s peace efforts have improved security, but long ceasefires can also create a kind of stability that delays a final political settlement. MHA records that over </w:t>
      </w:r>
      <w:r w:rsidR="002D04CA" w:rsidRPr="002D04CA">
        <w:rPr>
          <w:rFonts w:ascii="Times New Roman" w:eastAsia="Times New Roman" w:hAnsi="Times New Roman" w:cs="Times New Roman"/>
          <w:sz w:val="24"/>
          <w:szCs w:val="24"/>
        </w:rPr>
        <w:t>23-armed</w:t>
      </w:r>
      <w:r w:rsidRPr="002D04CA">
        <w:rPr>
          <w:rFonts w:ascii="Times New Roman" w:eastAsia="Times New Roman" w:hAnsi="Times New Roman" w:cs="Times New Roman"/>
          <w:sz w:val="24"/>
          <w:szCs w:val="24"/>
        </w:rPr>
        <w:t xml:space="preserve"> outfits in Manipur under the UPF and KNO conglomerates have been under Suspension of Operations since 2008, and with NSCN(IM) since 1997. As ceasefires continue, three structural problems emerge. </w:t>
      </w:r>
      <w:r w:rsidRPr="002D04CA">
        <w:rPr>
          <w:rFonts w:ascii="Times New Roman" w:eastAsia="Times New Roman" w:hAnsi="Times New Roman" w:cs="Times New Roman"/>
          <w:b/>
          <w:bCs/>
          <w:sz w:val="24"/>
          <w:szCs w:val="24"/>
        </w:rPr>
        <w:t xml:space="preserve"> </w:t>
      </w:r>
    </w:p>
    <w:p w14:paraId="0000002B"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First, frozen political outcomes: in Nagaland, repeated ceasefire extensions alongside the 2015 Framework Agreement signal a process that has stabilised violence without resolving core political claims. Second, incomplete disarmament: MHA explicitly identifies cross-border camps, arms procurement, recruitment, and extortion as continuing insurgent capabilities. Third, rehabilitation without transformation: the Surrender-cum-Rehabilitation Scheme provides financial support, a ₹4 lakh fixed deposit, a monthly stipend, vocational training, but measures inputs rather than outcomes. Training attendance does not guarantee employment, nor does monetary compensation ensure social reintegration. In practical terms, these gaps between formal peace and ground realities remain a key challenge.</w:t>
      </w:r>
    </w:p>
    <w:p w14:paraId="0000002D" w14:textId="2776ED7D"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In addition, as insurgency declines, violence increasingly resembles organised crime and terrorism. Extortion, intimidation, kidnapping, and narcotics trafficking constitute the main operational models of residual groups. Tactical gains are often not matched by judicial results, as arrests rarely lead to major convictions because of weak investigations, gaps in digital evidence and limited witness protection. As a result, individuals may be removed, but operating networks behind the violence often endure, and progress in post-insurgency areas depends as much on effective courts as on security operations, with outcomes varying widely across districts.</w:t>
      </w:r>
    </w:p>
    <w:p w14:paraId="0000002F"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A future-ready stabilisation strategy for North East India must move beyond counter-insurgency toward a whole-of-government model that integrates political, economic, social, </w:t>
      </w:r>
      <w:r w:rsidRPr="002D04CA">
        <w:rPr>
          <w:rFonts w:ascii="Times New Roman" w:eastAsia="Times New Roman" w:hAnsi="Times New Roman" w:cs="Times New Roman"/>
          <w:sz w:val="24"/>
          <w:szCs w:val="24"/>
        </w:rPr>
        <w:lastRenderedPageBreak/>
        <w:t>security, and information domains. Politically, institutionalised dialogue and local mediation mechanisms are required to prevent the re-emergence of armed mobilisation. Economically, development funding, over ₹1.5 lakh crore allocated to the North East between 2015 and 2023 under central and DoNER schemes, must be tied to audited community-level outcomes rather than contractor-driven outputs. In the security domain, priority should shift from kinetic operations to dismantling extortion, narcotics, and shadow-finance networks that sustain residual militancy. Simultaneously, district-level information systems are essential to counter disinformation and manage communal polarisation in real time.</w:t>
      </w:r>
    </w:p>
    <w:p w14:paraId="00000030"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India’s evolving approach increasingly reflects this integrated logic. DoNER-</w:t>
      </w:r>
      <w:r w:rsidRPr="002D04CA">
        <w:rPr>
          <w:rFonts w:ascii="Times New Roman" w:eastAsia="Gungsuh" w:hAnsi="Times New Roman" w:cs="Times New Roman"/>
          <w:sz w:val="24"/>
          <w:szCs w:val="24"/>
        </w:rPr>
        <w:t>supported connectivity and Act East trade corridors have expanded regional economic engagement, with India–Myanmar bilateral trade reaching about US $2.15 billion (≈₹18,000 crore) in 2024–25 and India–Bangladesh trade touching US $13.51 billion in the same period. Although border-level trade from the North East forms only a fraction of these totals, it generates formal livelihoods that directly compete with illicit economies. However, institutional silos between security agencies, development ministries, and civil administration continue to limit strategic coherence. For stabilisation to endure, political inclusion, judicial credibility, economic integration, and security enforcement must operate as a single governance system rather than parallel instruments of control.</w:t>
      </w:r>
    </w:p>
    <w:p w14:paraId="3E0FEC93" w14:textId="77777777" w:rsidR="002D04CA" w:rsidRPr="002D04CA" w:rsidRDefault="002D04CA" w:rsidP="002D04CA">
      <w:pPr>
        <w:spacing w:before="240" w:after="240" w:line="360" w:lineRule="auto"/>
        <w:jc w:val="both"/>
        <w:rPr>
          <w:rFonts w:ascii="Times New Roman" w:eastAsia="Times New Roman" w:hAnsi="Times New Roman" w:cs="Times New Roman"/>
          <w:i/>
          <w:iCs/>
          <w:sz w:val="24"/>
          <w:szCs w:val="24"/>
        </w:rPr>
      </w:pPr>
    </w:p>
    <w:p w14:paraId="00000034" w14:textId="188193CD" w:rsidR="00B66DDF" w:rsidRPr="002D04CA" w:rsidRDefault="00000000" w:rsidP="002D04CA">
      <w:pPr>
        <w:spacing w:before="240" w:after="240" w:line="360" w:lineRule="auto"/>
        <w:jc w:val="both"/>
        <w:rPr>
          <w:rFonts w:ascii="Times New Roman" w:eastAsia="Times New Roman" w:hAnsi="Times New Roman" w:cs="Times New Roman"/>
          <w:i/>
          <w:iCs/>
          <w:sz w:val="24"/>
          <w:szCs w:val="24"/>
        </w:rPr>
      </w:pPr>
      <w:r w:rsidRPr="002D04CA">
        <w:rPr>
          <w:rFonts w:ascii="Times New Roman" w:eastAsia="Times New Roman" w:hAnsi="Times New Roman" w:cs="Times New Roman"/>
          <w:i/>
          <w:iCs/>
          <w:sz w:val="24"/>
          <w:szCs w:val="24"/>
        </w:rPr>
        <w:t>Conclusion</w:t>
      </w:r>
    </w:p>
    <w:p w14:paraId="00000035" w14:textId="03F399B9"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India has largely won the counter-insurgency battle in the North East. North East India can no longer be analytically treated as a single insurgency theatre. Instead, it represents a differentiated security spectrum ranging from hybrid conflict (Manipur) to residual political insurgency (Nagaland), criminalised militancy (Assam–Tripura–Meghalaya), and post-conflict stabilisation (Mizoram). The decisive terrain today is not the jungle or border ridge, but the legitimacy of state institutions in everyday life. Sustainable peace will depend less on surrendered militants and more on credible governance, justice delivery and social cohesion. Such diversity necessitates the application of context-specific policy instruments rather than the continued reliance on uniform counter-insurgency frameworks. In post-insurgency environments, the consolidation of peace depends fundamentally on the state’s capacity to deliver equitable public services, enforce the rule of law and facilitate inclusive political </w:t>
      </w:r>
      <w:r w:rsidRPr="002D04CA">
        <w:rPr>
          <w:rFonts w:ascii="Times New Roman" w:eastAsia="Times New Roman" w:hAnsi="Times New Roman" w:cs="Times New Roman"/>
          <w:sz w:val="24"/>
          <w:szCs w:val="24"/>
        </w:rPr>
        <w:lastRenderedPageBreak/>
        <w:t>participation. While the Government has made progress in reducing organised armed violence in the North East, the challenge is to move from a security-focused approach to a model based on civil institutions, political legitimacy, and long-term social stability. This is essential to understanding why peace in the region remains uneven.</w:t>
      </w:r>
    </w:p>
    <w:p w14:paraId="00000036" w14:textId="77777777" w:rsidR="00B66DDF" w:rsidRPr="002D04CA" w:rsidRDefault="00000000" w:rsidP="002D04CA">
      <w:pPr>
        <w:spacing w:before="240" w:after="240" w:line="360" w:lineRule="auto"/>
        <w:jc w:val="both"/>
        <w:rPr>
          <w:rFonts w:ascii="Times New Roman" w:eastAsia="Times New Roman" w:hAnsi="Times New Roman" w:cs="Times New Roman"/>
          <w:sz w:val="24"/>
          <w:szCs w:val="24"/>
        </w:rPr>
      </w:pPr>
      <w:r w:rsidRPr="002D04CA">
        <w:rPr>
          <w:rFonts w:ascii="Times New Roman" w:eastAsia="Times New Roman" w:hAnsi="Times New Roman" w:cs="Times New Roman"/>
          <w:sz w:val="24"/>
          <w:szCs w:val="24"/>
        </w:rPr>
        <w:t xml:space="preserve"> </w:t>
      </w:r>
    </w:p>
    <w:p w14:paraId="00000037" w14:textId="77777777" w:rsidR="00B66DDF" w:rsidRPr="002D04CA" w:rsidRDefault="00B66DDF" w:rsidP="002D04CA">
      <w:pPr>
        <w:spacing w:line="360" w:lineRule="auto"/>
        <w:rPr>
          <w:rFonts w:ascii="Times New Roman" w:hAnsi="Times New Roman" w:cs="Times New Roman"/>
        </w:rPr>
      </w:pPr>
    </w:p>
    <w:sectPr w:rsidR="00B66DDF" w:rsidRPr="002D04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BEBBDA6F-FCFD-444F-905E-957A785D2545}"/>
  </w:font>
  <w:font w:name="Cambria">
    <w:panose1 w:val="02040503050406030204"/>
    <w:charset w:val="00"/>
    <w:family w:val="roman"/>
    <w:pitch w:val="variable"/>
    <w:sig w:usb0="E00006FF" w:usb1="420024FF" w:usb2="02000000" w:usb3="00000000" w:csb0="0000019F" w:csb1="00000000"/>
    <w:embedRegular r:id="rId2" w:fontKey="{85E8A245-0FE9-4368-B706-EFF6BA3A93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DF"/>
    <w:rsid w:val="002D04CA"/>
    <w:rsid w:val="00B66DDF"/>
    <w:rsid w:val="00BA7F5C"/>
    <w:rsid w:val="00DA7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5739"/>
  <w15:docId w15:val="{1E449867-90CF-4A9A-BA10-0845C704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2411</Words>
  <Characters>15604</Characters>
  <Application>Microsoft Office Word</Application>
  <DocSecurity>0</DocSecurity>
  <Lines>219</Lines>
  <Paragraphs>40</Paragraphs>
  <ScaleCrop>false</ScaleCrop>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KARTIKEYA GUPT</cp:lastModifiedBy>
  <cp:revision>3</cp:revision>
  <dcterms:created xsi:type="dcterms:W3CDTF">2026-02-09T04:47:00Z</dcterms:created>
  <dcterms:modified xsi:type="dcterms:W3CDTF">2026-02-09T04:53:00Z</dcterms:modified>
</cp:coreProperties>
</file>